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A7A" w:rsidRPr="00275A7A" w:rsidRDefault="00275A7A" w:rsidP="00275A7A">
      <w:pPr>
        <w:spacing w:after="0" w:line="240" w:lineRule="auto"/>
        <w:jc w:val="center"/>
        <w:rPr>
          <w:rFonts w:ascii="Verdana" w:eastAsia="Times New Roman" w:hAnsi="Verdana" w:cs="Times New Roman"/>
          <w:b/>
          <w:bCs/>
          <w:color w:val="000000"/>
          <w:sz w:val="18"/>
          <w:szCs w:val="18"/>
        </w:rPr>
      </w:pPr>
      <w:bookmarkStart w:id="0" w:name="_GoBack"/>
      <w:bookmarkEnd w:id="0"/>
      <w:r w:rsidRPr="00275A7A">
        <w:rPr>
          <w:rFonts w:ascii="Verdana" w:eastAsia="Times New Roman" w:hAnsi="Verdana" w:cs="Times New Roman"/>
          <w:b/>
          <w:bCs/>
          <w:color w:val="000000"/>
          <w:sz w:val="18"/>
          <w:szCs w:val="18"/>
        </w:rPr>
        <w:t>Potgieter &amp; another v Potgieter NO &amp; others</w:t>
      </w:r>
      <w:r w:rsidRPr="00275A7A">
        <w:rPr>
          <w:rFonts w:ascii="Verdana" w:eastAsia="Times New Roman" w:hAnsi="Verdana" w:cs="Times New Roman"/>
          <w:b/>
          <w:bCs/>
          <w:color w:val="000000"/>
          <w:sz w:val="18"/>
          <w:szCs w:val="18"/>
        </w:rPr>
        <w:br/>
        <w:t>[2011] JOL 27892 (SCA)</w:t>
      </w:r>
    </w:p>
    <w:tbl>
      <w:tblPr>
        <w:tblW w:w="7937" w:type="dxa"/>
        <w:tblCellMar>
          <w:left w:w="0" w:type="dxa"/>
          <w:right w:w="0" w:type="dxa"/>
        </w:tblCellMar>
        <w:tblLook w:val="04A0" w:firstRow="1" w:lastRow="0" w:firstColumn="1" w:lastColumn="0" w:noHBand="0" w:noVBand="1"/>
      </w:tblPr>
      <w:tblGrid>
        <w:gridCol w:w="1353"/>
        <w:gridCol w:w="6584"/>
      </w:tblGrid>
      <w:tr w:rsidR="00275A7A" w:rsidRPr="00275A7A" w:rsidTr="00275A7A">
        <w:tc>
          <w:tcPr>
            <w:tcW w:w="1984" w:type="dxa"/>
            <w:vAlign w:val="center"/>
            <w:hideMark/>
          </w:tcPr>
          <w:p w:rsidR="00275A7A" w:rsidRPr="00275A7A" w:rsidRDefault="00275A7A" w:rsidP="00275A7A">
            <w:pPr>
              <w:spacing w:after="0" w:line="240" w:lineRule="auto"/>
              <w:rPr>
                <w:rFonts w:ascii="Times New Roman" w:eastAsia="Times New Roman" w:hAnsi="Times New Roman" w:cs="Times New Roman"/>
                <w:sz w:val="2"/>
                <w:szCs w:val="2"/>
              </w:rPr>
            </w:pPr>
            <w:r w:rsidRPr="00275A7A">
              <w:rPr>
                <w:rFonts w:ascii="Times New Roman" w:eastAsia="Times New Roman" w:hAnsi="Times New Roman" w:cs="Times New Roman"/>
                <w:sz w:val="2"/>
                <w:szCs w:val="2"/>
              </w:rPr>
              <w:t> </w:t>
            </w:r>
          </w:p>
        </w:tc>
        <w:tc>
          <w:tcPr>
            <w:tcW w:w="5953" w:type="dxa"/>
            <w:vAlign w:val="center"/>
            <w:hideMark/>
          </w:tcPr>
          <w:p w:rsidR="00275A7A" w:rsidRPr="00275A7A" w:rsidRDefault="00275A7A" w:rsidP="00275A7A">
            <w:pPr>
              <w:spacing w:after="0" w:line="240" w:lineRule="auto"/>
              <w:rPr>
                <w:rFonts w:ascii="Times New Roman" w:eastAsia="Times New Roman" w:hAnsi="Times New Roman" w:cs="Times New Roman"/>
                <w:sz w:val="24"/>
                <w:szCs w:val="24"/>
              </w:rPr>
            </w:pPr>
          </w:p>
        </w:tc>
      </w:tr>
      <w:tr w:rsidR="00275A7A" w:rsidRPr="00275A7A" w:rsidTr="00275A7A">
        <w:tc>
          <w:tcPr>
            <w:tcW w:w="0" w:type="auto"/>
            <w:hideMark/>
          </w:tcPr>
          <w:p w:rsidR="00275A7A" w:rsidRPr="00275A7A" w:rsidRDefault="00275A7A" w:rsidP="00275A7A">
            <w:pPr>
              <w:spacing w:before="40" w:after="0" w:line="240" w:lineRule="auto"/>
              <w:rPr>
                <w:rFonts w:ascii="Verdana" w:eastAsia="Times New Roman" w:hAnsi="Verdana" w:cs="Times New Roman"/>
                <w:color w:val="000000"/>
                <w:sz w:val="16"/>
                <w:szCs w:val="16"/>
              </w:rPr>
            </w:pPr>
            <w:r w:rsidRPr="00275A7A">
              <w:rPr>
                <w:rFonts w:ascii="Verdana" w:eastAsia="Times New Roman" w:hAnsi="Verdana" w:cs="Times New Roman"/>
                <w:b/>
                <w:bCs/>
                <w:color w:val="000000"/>
                <w:sz w:val="16"/>
                <w:szCs w:val="16"/>
              </w:rPr>
              <w:t>Reported in:</w:t>
            </w:r>
          </w:p>
        </w:tc>
        <w:tc>
          <w:tcPr>
            <w:tcW w:w="0" w:type="auto"/>
            <w:vAlign w:val="center"/>
            <w:hideMark/>
          </w:tcPr>
          <w:p w:rsidR="00275A7A" w:rsidRPr="00275A7A" w:rsidRDefault="00275A7A" w:rsidP="00275A7A">
            <w:pPr>
              <w:spacing w:before="40" w:after="0" w:line="240" w:lineRule="auto"/>
              <w:rPr>
                <w:rFonts w:ascii="Verdana" w:eastAsia="Times New Roman" w:hAnsi="Verdana" w:cs="Times New Roman"/>
                <w:color w:val="000000"/>
                <w:sz w:val="16"/>
                <w:szCs w:val="16"/>
              </w:rPr>
            </w:pPr>
            <w:r w:rsidRPr="00275A7A">
              <w:rPr>
                <w:rFonts w:ascii="Verdana" w:eastAsia="Times New Roman" w:hAnsi="Verdana" w:cs="Times New Roman"/>
                <w:color w:val="000000"/>
                <w:sz w:val="16"/>
                <w:szCs w:val="16"/>
              </w:rPr>
              <w:t>Judgments Online, a LexisNexis Electronic Law Report Series</w:t>
            </w:r>
          </w:p>
        </w:tc>
      </w:tr>
      <w:tr w:rsidR="00275A7A" w:rsidRPr="00275A7A" w:rsidTr="00275A7A">
        <w:tc>
          <w:tcPr>
            <w:tcW w:w="0" w:type="auto"/>
            <w:hideMark/>
          </w:tcPr>
          <w:p w:rsidR="00275A7A" w:rsidRPr="00275A7A" w:rsidRDefault="00275A7A" w:rsidP="00275A7A">
            <w:pPr>
              <w:spacing w:before="40" w:after="0" w:line="240" w:lineRule="auto"/>
              <w:rPr>
                <w:rFonts w:ascii="Verdana" w:eastAsia="Times New Roman" w:hAnsi="Verdana" w:cs="Times New Roman"/>
                <w:color w:val="000000"/>
                <w:sz w:val="16"/>
                <w:szCs w:val="16"/>
              </w:rPr>
            </w:pPr>
            <w:r w:rsidRPr="00275A7A">
              <w:rPr>
                <w:rFonts w:ascii="Verdana" w:eastAsia="Times New Roman" w:hAnsi="Verdana" w:cs="Times New Roman"/>
                <w:b/>
                <w:bCs/>
                <w:color w:val="000000"/>
                <w:sz w:val="16"/>
                <w:szCs w:val="16"/>
              </w:rPr>
              <w:t>Case No:</w:t>
            </w:r>
          </w:p>
        </w:tc>
        <w:tc>
          <w:tcPr>
            <w:tcW w:w="0" w:type="auto"/>
            <w:vAlign w:val="center"/>
            <w:hideMark/>
          </w:tcPr>
          <w:p w:rsidR="00275A7A" w:rsidRPr="00275A7A" w:rsidRDefault="00275A7A" w:rsidP="00275A7A">
            <w:pPr>
              <w:spacing w:before="40" w:after="0" w:line="240" w:lineRule="auto"/>
              <w:rPr>
                <w:rFonts w:ascii="Verdana" w:eastAsia="Times New Roman" w:hAnsi="Verdana" w:cs="Times New Roman"/>
                <w:color w:val="000000"/>
                <w:sz w:val="16"/>
                <w:szCs w:val="16"/>
              </w:rPr>
            </w:pPr>
            <w:r w:rsidRPr="00275A7A">
              <w:rPr>
                <w:rFonts w:ascii="Verdana" w:eastAsia="Times New Roman" w:hAnsi="Verdana" w:cs="Times New Roman"/>
                <w:color w:val="000000"/>
                <w:sz w:val="16"/>
                <w:szCs w:val="16"/>
              </w:rPr>
              <w:t>629 / 2010</w:t>
            </w:r>
          </w:p>
        </w:tc>
      </w:tr>
      <w:tr w:rsidR="00275A7A" w:rsidRPr="00275A7A" w:rsidTr="00275A7A">
        <w:tc>
          <w:tcPr>
            <w:tcW w:w="0" w:type="auto"/>
            <w:hideMark/>
          </w:tcPr>
          <w:p w:rsidR="00275A7A" w:rsidRPr="00275A7A" w:rsidRDefault="00275A7A" w:rsidP="00275A7A">
            <w:pPr>
              <w:spacing w:before="40" w:after="0" w:line="240" w:lineRule="auto"/>
              <w:rPr>
                <w:rFonts w:ascii="Verdana" w:eastAsia="Times New Roman" w:hAnsi="Verdana" w:cs="Times New Roman"/>
                <w:color w:val="000000"/>
                <w:sz w:val="16"/>
                <w:szCs w:val="16"/>
              </w:rPr>
            </w:pPr>
            <w:r w:rsidRPr="00275A7A">
              <w:rPr>
                <w:rFonts w:ascii="Verdana" w:eastAsia="Times New Roman" w:hAnsi="Verdana" w:cs="Times New Roman"/>
                <w:b/>
                <w:bCs/>
                <w:color w:val="000000"/>
                <w:sz w:val="16"/>
                <w:szCs w:val="16"/>
              </w:rPr>
              <w:t>Judgment Date(s):</w:t>
            </w:r>
          </w:p>
        </w:tc>
        <w:tc>
          <w:tcPr>
            <w:tcW w:w="0" w:type="auto"/>
            <w:vAlign w:val="center"/>
            <w:hideMark/>
          </w:tcPr>
          <w:p w:rsidR="00275A7A" w:rsidRPr="00275A7A" w:rsidRDefault="00275A7A" w:rsidP="00275A7A">
            <w:pPr>
              <w:spacing w:before="40" w:after="0" w:line="240" w:lineRule="auto"/>
              <w:rPr>
                <w:rFonts w:ascii="Verdana" w:eastAsia="Times New Roman" w:hAnsi="Verdana" w:cs="Times New Roman"/>
                <w:color w:val="000000"/>
                <w:sz w:val="16"/>
                <w:szCs w:val="16"/>
              </w:rPr>
            </w:pPr>
            <w:r w:rsidRPr="00275A7A">
              <w:rPr>
                <w:rFonts w:ascii="Verdana" w:eastAsia="Times New Roman" w:hAnsi="Verdana" w:cs="Times New Roman"/>
                <w:color w:val="000000"/>
                <w:sz w:val="16"/>
                <w:szCs w:val="16"/>
              </w:rPr>
              <w:t>30 / 09 / 2011</w:t>
            </w:r>
          </w:p>
        </w:tc>
      </w:tr>
      <w:tr w:rsidR="00275A7A" w:rsidRPr="00275A7A" w:rsidTr="00275A7A">
        <w:tc>
          <w:tcPr>
            <w:tcW w:w="0" w:type="auto"/>
            <w:hideMark/>
          </w:tcPr>
          <w:p w:rsidR="00275A7A" w:rsidRPr="00275A7A" w:rsidRDefault="00275A7A" w:rsidP="00275A7A">
            <w:pPr>
              <w:spacing w:before="40" w:after="0" w:line="240" w:lineRule="auto"/>
              <w:rPr>
                <w:rFonts w:ascii="Verdana" w:eastAsia="Times New Roman" w:hAnsi="Verdana" w:cs="Times New Roman"/>
                <w:color w:val="000000"/>
                <w:sz w:val="16"/>
                <w:szCs w:val="16"/>
              </w:rPr>
            </w:pPr>
            <w:r w:rsidRPr="00275A7A">
              <w:rPr>
                <w:rFonts w:ascii="Verdana" w:eastAsia="Times New Roman" w:hAnsi="Verdana" w:cs="Times New Roman"/>
                <w:b/>
                <w:bCs/>
                <w:color w:val="000000"/>
                <w:sz w:val="16"/>
                <w:szCs w:val="16"/>
              </w:rPr>
              <w:t>Hearing Date(s):</w:t>
            </w:r>
          </w:p>
        </w:tc>
        <w:tc>
          <w:tcPr>
            <w:tcW w:w="0" w:type="auto"/>
            <w:vAlign w:val="center"/>
            <w:hideMark/>
          </w:tcPr>
          <w:p w:rsidR="00275A7A" w:rsidRPr="00275A7A" w:rsidRDefault="00275A7A" w:rsidP="00275A7A">
            <w:pPr>
              <w:spacing w:before="40" w:after="0" w:line="240" w:lineRule="auto"/>
              <w:rPr>
                <w:rFonts w:ascii="Verdana" w:eastAsia="Times New Roman" w:hAnsi="Verdana" w:cs="Times New Roman"/>
                <w:color w:val="000000"/>
                <w:sz w:val="16"/>
                <w:szCs w:val="16"/>
              </w:rPr>
            </w:pPr>
            <w:r w:rsidRPr="00275A7A">
              <w:rPr>
                <w:rFonts w:ascii="Verdana" w:eastAsia="Times New Roman" w:hAnsi="Verdana" w:cs="Times New Roman"/>
                <w:color w:val="000000"/>
                <w:sz w:val="16"/>
                <w:szCs w:val="16"/>
              </w:rPr>
              <w:t>20 / 09 / 2011</w:t>
            </w:r>
          </w:p>
        </w:tc>
      </w:tr>
      <w:tr w:rsidR="00275A7A" w:rsidRPr="00275A7A" w:rsidTr="00275A7A">
        <w:tc>
          <w:tcPr>
            <w:tcW w:w="0" w:type="auto"/>
            <w:hideMark/>
          </w:tcPr>
          <w:p w:rsidR="00275A7A" w:rsidRPr="00275A7A" w:rsidRDefault="00275A7A" w:rsidP="00275A7A">
            <w:pPr>
              <w:spacing w:before="40" w:after="0" w:line="240" w:lineRule="auto"/>
              <w:rPr>
                <w:rFonts w:ascii="Verdana" w:eastAsia="Times New Roman" w:hAnsi="Verdana" w:cs="Times New Roman"/>
                <w:color w:val="000000"/>
                <w:sz w:val="16"/>
                <w:szCs w:val="16"/>
              </w:rPr>
            </w:pPr>
            <w:r w:rsidRPr="00275A7A">
              <w:rPr>
                <w:rFonts w:ascii="Verdana" w:eastAsia="Times New Roman" w:hAnsi="Verdana" w:cs="Times New Roman"/>
                <w:b/>
                <w:bCs/>
                <w:color w:val="000000"/>
                <w:sz w:val="16"/>
                <w:szCs w:val="16"/>
              </w:rPr>
              <w:t>Marked as:</w:t>
            </w:r>
          </w:p>
        </w:tc>
        <w:tc>
          <w:tcPr>
            <w:tcW w:w="0" w:type="auto"/>
            <w:vAlign w:val="center"/>
            <w:hideMark/>
          </w:tcPr>
          <w:p w:rsidR="00275A7A" w:rsidRPr="00275A7A" w:rsidRDefault="00275A7A" w:rsidP="00275A7A">
            <w:pPr>
              <w:spacing w:before="40" w:after="0" w:line="240" w:lineRule="auto"/>
              <w:rPr>
                <w:rFonts w:ascii="Verdana" w:eastAsia="Times New Roman" w:hAnsi="Verdana" w:cs="Times New Roman"/>
                <w:color w:val="000000"/>
                <w:sz w:val="16"/>
                <w:szCs w:val="16"/>
              </w:rPr>
            </w:pPr>
            <w:r w:rsidRPr="00275A7A">
              <w:rPr>
                <w:rFonts w:ascii="Verdana" w:eastAsia="Times New Roman" w:hAnsi="Verdana" w:cs="Times New Roman"/>
                <w:color w:val="000000"/>
                <w:sz w:val="16"/>
                <w:szCs w:val="16"/>
              </w:rPr>
              <w:t>Unmarked</w:t>
            </w:r>
          </w:p>
        </w:tc>
      </w:tr>
      <w:tr w:rsidR="00275A7A" w:rsidRPr="00275A7A" w:rsidTr="00275A7A">
        <w:tc>
          <w:tcPr>
            <w:tcW w:w="0" w:type="auto"/>
            <w:hideMark/>
          </w:tcPr>
          <w:p w:rsidR="00275A7A" w:rsidRPr="00275A7A" w:rsidRDefault="00275A7A" w:rsidP="00275A7A">
            <w:pPr>
              <w:spacing w:before="40" w:after="0" w:line="240" w:lineRule="auto"/>
              <w:rPr>
                <w:rFonts w:ascii="Verdana" w:eastAsia="Times New Roman" w:hAnsi="Verdana" w:cs="Times New Roman"/>
                <w:color w:val="000000"/>
                <w:sz w:val="16"/>
                <w:szCs w:val="16"/>
              </w:rPr>
            </w:pPr>
            <w:r w:rsidRPr="00275A7A">
              <w:rPr>
                <w:rFonts w:ascii="Verdana" w:eastAsia="Times New Roman" w:hAnsi="Verdana" w:cs="Times New Roman"/>
                <w:b/>
                <w:bCs/>
                <w:color w:val="000000"/>
                <w:sz w:val="16"/>
                <w:szCs w:val="16"/>
              </w:rPr>
              <w:t>Country:</w:t>
            </w:r>
          </w:p>
        </w:tc>
        <w:tc>
          <w:tcPr>
            <w:tcW w:w="0" w:type="auto"/>
            <w:vAlign w:val="center"/>
            <w:hideMark/>
          </w:tcPr>
          <w:p w:rsidR="00275A7A" w:rsidRPr="00275A7A" w:rsidRDefault="00275A7A" w:rsidP="00275A7A">
            <w:pPr>
              <w:spacing w:before="40" w:after="0" w:line="240" w:lineRule="auto"/>
              <w:rPr>
                <w:rFonts w:ascii="Verdana" w:eastAsia="Times New Roman" w:hAnsi="Verdana" w:cs="Times New Roman"/>
                <w:color w:val="000000"/>
                <w:sz w:val="16"/>
                <w:szCs w:val="16"/>
              </w:rPr>
            </w:pPr>
            <w:r w:rsidRPr="00275A7A">
              <w:rPr>
                <w:rFonts w:ascii="Verdana" w:eastAsia="Times New Roman" w:hAnsi="Verdana" w:cs="Times New Roman"/>
                <w:color w:val="000000"/>
                <w:sz w:val="16"/>
                <w:szCs w:val="16"/>
              </w:rPr>
              <w:t>South Africa</w:t>
            </w:r>
          </w:p>
        </w:tc>
      </w:tr>
      <w:tr w:rsidR="00275A7A" w:rsidRPr="00275A7A" w:rsidTr="00275A7A">
        <w:tc>
          <w:tcPr>
            <w:tcW w:w="0" w:type="auto"/>
            <w:hideMark/>
          </w:tcPr>
          <w:p w:rsidR="00275A7A" w:rsidRPr="00275A7A" w:rsidRDefault="00275A7A" w:rsidP="00275A7A">
            <w:pPr>
              <w:spacing w:before="40" w:after="0" w:line="240" w:lineRule="auto"/>
              <w:rPr>
                <w:rFonts w:ascii="Verdana" w:eastAsia="Times New Roman" w:hAnsi="Verdana" w:cs="Times New Roman"/>
                <w:color w:val="000000"/>
                <w:sz w:val="16"/>
                <w:szCs w:val="16"/>
              </w:rPr>
            </w:pPr>
            <w:r w:rsidRPr="00275A7A">
              <w:rPr>
                <w:rFonts w:ascii="Verdana" w:eastAsia="Times New Roman" w:hAnsi="Verdana" w:cs="Times New Roman"/>
                <w:b/>
                <w:bCs/>
                <w:color w:val="000000"/>
                <w:sz w:val="16"/>
                <w:szCs w:val="16"/>
              </w:rPr>
              <w:t>Jurisdiction:</w:t>
            </w:r>
          </w:p>
        </w:tc>
        <w:tc>
          <w:tcPr>
            <w:tcW w:w="0" w:type="auto"/>
            <w:vAlign w:val="center"/>
            <w:hideMark/>
          </w:tcPr>
          <w:p w:rsidR="00275A7A" w:rsidRPr="00275A7A" w:rsidRDefault="00275A7A" w:rsidP="00275A7A">
            <w:pPr>
              <w:spacing w:before="40" w:after="0" w:line="240" w:lineRule="auto"/>
              <w:rPr>
                <w:rFonts w:ascii="Verdana" w:eastAsia="Times New Roman" w:hAnsi="Verdana" w:cs="Times New Roman"/>
                <w:color w:val="000000"/>
                <w:sz w:val="16"/>
                <w:szCs w:val="16"/>
              </w:rPr>
            </w:pPr>
            <w:r w:rsidRPr="00275A7A">
              <w:rPr>
                <w:rFonts w:ascii="Verdana" w:eastAsia="Times New Roman" w:hAnsi="Verdana" w:cs="Times New Roman"/>
                <w:color w:val="000000"/>
                <w:sz w:val="16"/>
                <w:szCs w:val="16"/>
              </w:rPr>
              <w:t>Supreme Court of Appeal</w:t>
            </w:r>
          </w:p>
        </w:tc>
      </w:tr>
      <w:tr w:rsidR="00275A7A" w:rsidRPr="00275A7A" w:rsidTr="00275A7A">
        <w:tc>
          <w:tcPr>
            <w:tcW w:w="0" w:type="auto"/>
            <w:hideMark/>
          </w:tcPr>
          <w:p w:rsidR="00275A7A" w:rsidRPr="00275A7A" w:rsidRDefault="00275A7A" w:rsidP="00275A7A">
            <w:pPr>
              <w:spacing w:before="40" w:after="0" w:line="240" w:lineRule="auto"/>
              <w:rPr>
                <w:rFonts w:ascii="Verdana" w:eastAsia="Times New Roman" w:hAnsi="Verdana" w:cs="Times New Roman"/>
                <w:color w:val="000000"/>
                <w:sz w:val="16"/>
                <w:szCs w:val="16"/>
              </w:rPr>
            </w:pPr>
            <w:r w:rsidRPr="00275A7A">
              <w:rPr>
                <w:rFonts w:ascii="Verdana" w:eastAsia="Times New Roman" w:hAnsi="Verdana" w:cs="Times New Roman"/>
                <w:b/>
                <w:bCs/>
                <w:color w:val="000000"/>
                <w:sz w:val="16"/>
                <w:szCs w:val="16"/>
              </w:rPr>
              <w:t>Division:</w:t>
            </w:r>
          </w:p>
        </w:tc>
        <w:tc>
          <w:tcPr>
            <w:tcW w:w="0" w:type="auto"/>
            <w:vAlign w:val="center"/>
            <w:hideMark/>
          </w:tcPr>
          <w:p w:rsidR="00275A7A" w:rsidRPr="00275A7A" w:rsidRDefault="00275A7A" w:rsidP="00275A7A">
            <w:pPr>
              <w:spacing w:before="40" w:after="0" w:line="240" w:lineRule="auto"/>
              <w:rPr>
                <w:rFonts w:ascii="Verdana" w:eastAsia="Times New Roman" w:hAnsi="Verdana" w:cs="Times New Roman"/>
                <w:color w:val="000000"/>
                <w:sz w:val="16"/>
                <w:szCs w:val="16"/>
              </w:rPr>
            </w:pPr>
            <w:r w:rsidRPr="00275A7A">
              <w:rPr>
                <w:rFonts w:ascii="Verdana" w:eastAsia="Times New Roman" w:hAnsi="Verdana" w:cs="Times New Roman"/>
                <w:color w:val="000000"/>
                <w:sz w:val="16"/>
                <w:szCs w:val="16"/>
              </w:rPr>
              <w:t> </w:t>
            </w:r>
          </w:p>
        </w:tc>
      </w:tr>
      <w:tr w:rsidR="00275A7A" w:rsidRPr="00275A7A" w:rsidTr="00275A7A">
        <w:tc>
          <w:tcPr>
            <w:tcW w:w="0" w:type="auto"/>
            <w:hideMark/>
          </w:tcPr>
          <w:p w:rsidR="00275A7A" w:rsidRPr="00275A7A" w:rsidRDefault="00275A7A" w:rsidP="00275A7A">
            <w:pPr>
              <w:spacing w:before="40" w:after="0" w:line="240" w:lineRule="auto"/>
              <w:rPr>
                <w:rFonts w:ascii="Verdana" w:eastAsia="Times New Roman" w:hAnsi="Verdana" w:cs="Times New Roman"/>
                <w:color w:val="000000"/>
                <w:sz w:val="16"/>
                <w:szCs w:val="16"/>
              </w:rPr>
            </w:pPr>
            <w:r w:rsidRPr="00275A7A">
              <w:rPr>
                <w:rFonts w:ascii="Verdana" w:eastAsia="Times New Roman" w:hAnsi="Verdana" w:cs="Times New Roman"/>
                <w:b/>
                <w:bCs/>
                <w:color w:val="000000"/>
                <w:sz w:val="16"/>
                <w:szCs w:val="16"/>
              </w:rPr>
              <w:t>Judge:</w:t>
            </w:r>
          </w:p>
        </w:tc>
        <w:tc>
          <w:tcPr>
            <w:tcW w:w="0" w:type="auto"/>
            <w:vAlign w:val="center"/>
            <w:hideMark/>
          </w:tcPr>
          <w:p w:rsidR="00275A7A" w:rsidRPr="00275A7A" w:rsidRDefault="00275A7A" w:rsidP="00275A7A">
            <w:pPr>
              <w:spacing w:before="40" w:after="0" w:line="240" w:lineRule="auto"/>
              <w:rPr>
                <w:rFonts w:ascii="Verdana" w:eastAsia="Times New Roman" w:hAnsi="Verdana" w:cs="Times New Roman"/>
                <w:color w:val="000000"/>
                <w:sz w:val="16"/>
                <w:szCs w:val="16"/>
              </w:rPr>
            </w:pPr>
            <w:r w:rsidRPr="00275A7A">
              <w:rPr>
                <w:rFonts w:ascii="Verdana" w:eastAsia="Times New Roman" w:hAnsi="Verdana" w:cs="Times New Roman"/>
                <w:color w:val="000000"/>
                <w:sz w:val="16"/>
                <w:szCs w:val="16"/>
              </w:rPr>
              <w:t>Brand JA</w:t>
            </w:r>
          </w:p>
        </w:tc>
      </w:tr>
      <w:tr w:rsidR="00275A7A" w:rsidRPr="00275A7A" w:rsidTr="00275A7A">
        <w:tc>
          <w:tcPr>
            <w:tcW w:w="0" w:type="auto"/>
            <w:hideMark/>
          </w:tcPr>
          <w:p w:rsidR="00275A7A" w:rsidRPr="00275A7A" w:rsidRDefault="00275A7A" w:rsidP="00275A7A">
            <w:pPr>
              <w:spacing w:before="40" w:after="0" w:line="240" w:lineRule="auto"/>
              <w:rPr>
                <w:rFonts w:ascii="Verdana" w:eastAsia="Times New Roman" w:hAnsi="Verdana" w:cs="Times New Roman"/>
                <w:color w:val="000000"/>
                <w:sz w:val="16"/>
                <w:szCs w:val="16"/>
              </w:rPr>
            </w:pPr>
            <w:r w:rsidRPr="00275A7A">
              <w:rPr>
                <w:rFonts w:ascii="Verdana" w:eastAsia="Times New Roman" w:hAnsi="Verdana" w:cs="Times New Roman"/>
                <w:b/>
                <w:bCs/>
                <w:color w:val="000000"/>
                <w:sz w:val="16"/>
                <w:szCs w:val="16"/>
              </w:rPr>
              <w:t>Bench:</w:t>
            </w:r>
          </w:p>
        </w:tc>
        <w:tc>
          <w:tcPr>
            <w:tcW w:w="0" w:type="auto"/>
            <w:vAlign w:val="center"/>
            <w:hideMark/>
          </w:tcPr>
          <w:p w:rsidR="00275A7A" w:rsidRPr="00275A7A" w:rsidRDefault="00275A7A" w:rsidP="00275A7A">
            <w:pPr>
              <w:spacing w:before="40" w:after="0" w:line="240" w:lineRule="auto"/>
              <w:rPr>
                <w:rFonts w:ascii="Verdana" w:eastAsia="Times New Roman" w:hAnsi="Verdana" w:cs="Times New Roman"/>
                <w:color w:val="000000"/>
                <w:sz w:val="16"/>
                <w:szCs w:val="16"/>
              </w:rPr>
            </w:pPr>
            <w:r w:rsidRPr="00275A7A">
              <w:rPr>
                <w:rFonts w:ascii="Verdana" w:eastAsia="Times New Roman" w:hAnsi="Verdana" w:cs="Times New Roman"/>
                <w:color w:val="000000"/>
                <w:sz w:val="16"/>
                <w:szCs w:val="16"/>
              </w:rPr>
              <w:t xml:space="preserve">Brand JA, </w:t>
            </w:r>
            <w:proofErr w:type="spellStart"/>
            <w:r w:rsidRPr="00275A7A">
              <w:rPr>
                <w:rFonts w:ascii="Verdana" w:eastAsia="Times New Roman" w:hAnsi="Verdana" w:cs="Times New Roman"/>
                <w:color w:val="000000"/>
                <w:sz w:val="16"/>
                <w:szCs w:val="16"/>
              </w:rPr>
              <w:t>Navsa</w:t>
            </w:r>
            <w:proofErr w:type="spellEnd"/>
            <w:r w:rsidRPr="00275A7A">
              <w:rPr>
                <w:rFonts w:ascii="Verdana" w:eastAsia="Times New Roman" w:hAnsi="Verdana" w:cs="Times New Roman"/>
                <w:color w:val="000000"/>
                <w:sz w:val="16"/>
                <w:szCs w:val="16"/>
              </w:rPr>
              <w:t xml:space="preserve">, Van </w:t>
            </w:r>
            <w:proofErr w:type="spellStart"/>
            <w:r w:rsidRPr="00275A7A">
              <w:rPr>
                <w:rFonts w:ascii="Verdana" w:eastAsia="Times New Roman" w:hAnsi="Verdana" w:cs="Times New Roman"/>
                <w:color w:val="000000"/>
                <w:sz w:val="16"/>
                <w:szCs w:val="16"/>
              </w:rPr>
              <w:t>Heerden</w:t>
            </w:r>
            <w:proofErr w:type="spellEnd"/>
            <w:r w:rsidRPr="00275A7A">
              <w:rPr>
                <w:rFonts w:ascii="Verdana" w:eastAsia="Times New Roman" w:hAnsi="Verdana" w:cs="Times New Roman"/>
                <w:color w:val="000000"/>
                <w:sz w:val="16"/>
                <w:szCs w:val="16"/>
              </w:rPr>
              <w:t xml:space="preserve">, Leach and </w:t>
            </w:r>
            <w:proofErr w:type="spellStart"/>
            <w:r w:rsidRPr="00275A7A">
              <w:rPr>
                <w:rFonts w:ascii="Verdana" w:eastAsia="Times New Roman" w:hAnsi="Verdana" w:cs="Times New Roman"/>
                <w:color w:val="000000"/>
                <w:sz w:val="16"/>
                <w:szCs w:val="16"/>
              </w:rPr>
              <w:t>Majiedt</w:t>
            </w:r>
            <w:proofErr w:type="spellEnd"/>
            <w:r w:rsidRPr="00275A7A">
              <w:rPr>
                <w:rFonts w:ascii="Verdana" w:eastAsia="Times New Roman" w:hAnsi="Verdana" w:cs="Times New Roman"/>
                <w:color w:val="000000"/>
                <w:sz w:val="16"/>
                <w:szCs w:val="16"/>
              </w:rPr>
              <w:t xml:space="preserve"> JJA</w:t>
            </w:r>
          </w:p>
        </w:tc>
      </w:tr>
      <w:tr w:rsidR="00275A7A" w:rsidRPr="00275A7A" w:rsidTr="00275A7A">
        <w:tc>
          <w:tcPr>
            <w:tcW w:w="0" w:type="auto"/>
            <w:hideMark/>
          </w:tcPr>
          <w:p w:rsidR="00275A7A" w:rsidRPr="00275A7A" w:rsidRDefault="00275A7A" w:rsidP="00275A7A">
            <w:pPr>
              <w:spacing w:before="40" w:after="0" w:line="240" w:lineRule="auto"/>
              <w:rPr>
                <w:rFonts w:ascii="Verdana" w:eastAsia="Times New Roman" w:hAnsi="Verdana" w:cs="Times New Roman"/>
                <w:color w:val="000000"/>
                <w:sz w:val="16"/>
                <w:szCs w:val="16"/>
              </w:rPr>
            </w:pPr>
            <w:r w:rsidRPr="00275A7A">
              <w:rPr>
                <w:rFonts w:ascii="Verdana" w:eastAsia="Times New Roman" w:hAnsi="Verdana" w:cs="Times New Roman"/>
                <w:b/>
                <w:bCs/>
                <w:color w:val="000000"/>
                <w:sz w:val="16"/>
                <w:szCs w:val="16"/>
              </w:rPr>
              <w:t>Parties:</w:t>
            </w:r>
          </w:p>
        </w:tc>
        <w:tc>
          <w:tcPr>
            <w:tcW w:w="0" w:type="auto"/>
            <w:vAlign w:val="center"/>
            <w:hideMark/>
          </w:tcPr>
          <w:p w:rsidR="00275A7A" w:rsidRPr="00275A7A" w:rsidRDefault="00275A7A" w:rsidP="00275A7A">
            <w:pPr>
              <w:spacing w:before="40" w:after="0" w:line="240" w:lineRule="auto"/>
              <w:rPr>
                <w:rFonts w:ascii="Verdana" w:eastAsia="Times New Roman" w:hAnsi="Verdana" w:cs="Times New Roman"/>
                <w:color w:val="000000"/>
                <w:sz w:val="16"/>
                <w:szCs w:val="16"/>
              </w:rPr>
            </w:pPr>
            <w:r w:rsidRPr="00275A7A">
              <w:rPr>
                <w:rFonts w:ascii="Verdana" w:eastAsia="Times New Roman" w:hAnsi="Verdana" w:cs="Times New Roman"/>
                <w:color w:val="000000"/>
                <w:sz w:val="16"/>
                <w:szCs w:val="16"/>
              </w:rPr>
              <w:t xml:space="preserve">Jan </w:t>
            </w:r>
            <w:proofErr w:type="spellStart"/>
            <w:r w:rsidRPr="00275A7A">
              <w:rPr>
                <w:rFonts w:ascii="Verdana" w:eastAsia="Times New Roman" w:hAnsi="Verdana" w:cs="Times New Roman"/>
                <w:color w:val="000000"/>
                <w:sz w:val="16"/>
                <w:szCs w:val="16"/>
              </w:rPr>
              <w:t>Wilhelmus</w:t>
            </w:r>
            <w:proofErr w:type="spellEnd"/>
            <w:r w:rsidRPr="00275A7A">
              <w:rPr>
                <w:rFonts w:ascii="Verdana" w:eastAsia="Times New Roman" w:hAnsi="Verdana" w:cs="Times New Roman"/>
                <w:color w:val="000000"/>
                <w:sz w:val="16"/>
                <w:szCs w:val="16"/>
              </w:rPr>
              <w:t xml:space="preserve"> Potgieter (1A), </w:t>
            </w:r>
            <w:proofErr w:type="spellStart"/>
            <w:r w:rsidRPr="00275A7A">
              <w:rPr>
                <w:rFonts w:ascii="Verdana" w:eastAsia="Times New Roman" w:hAnsi="Verdana" w:cs="Times New Roman"/>
                <w:color w:val="000000"/>
                <w:sz w:val="16"/>
                <w:szCs w:val="16"/>
              </w:rPr>
              <w:t>Magdell</w:t>
            </w:r>
            <w:proofErr w:type="spellEnd"/>
            <w:r w:rsidRPr="00275A7A">
              <w:rPr>
                <w:rFonts w:ascii="Verdana" w:eastAsia="Times New Roman" w:hAnsi="Verdana" w:cs="Times New Roman"/>
                <w:color w:val="000000"/>
                <w:sz w:val="16"/>
                <w:szCs w:val="16"/>
              </w:rPr>
              <w:t xml:space="preserve"> Woodward (2A); Anna-marie Juliana Potgieter NO (1R), </w:t>
            </w:r>
            <w:proofErr w:type="spellStart"/>
            <w:r w:rsidRPr="00275A7A">
              <w:rPr>
                <w:rFonts w:ascii="Verdana" w:eastAsia="Times New Roman" w:hAnsi="Verdana" w:cs="Times New Roman"/>
                <w:color w:val="000000"/>
                <w:sz w:val="16"/>
                <w:szCs w:val="16"/>
              </w:rPr>
              <w:t>Theron</w:t>
            </w:r>
            <w:proofErr w:type="spellEnd"/>
            <w:r w:rsidRPr="00275A7A">
              <w:rPr>
                <w:rFonts w:ascii="Verdana" w:eastAsia="Times New Roman" w:hAnsi="Verdana" w:cs="Times New Roman"/>
                <w:color w:val="000000"/>
                <w:sz w:val="16"/>
                <w:szCs w:val="16"/>
              </w:rPr>
              <w:t xml:space="preserve"> </w:t>
            </w:r>
            <w:proofErr w:type="spellStart"/>
            <w:r w:rsidRPr="00275A7A">
              <w:rPr>
                <w:rFonts w:ascii="Verdana" w:eastAsia="Times New Roman" w:hAnsi="Verdana" w:cs="Times New Roman"/>
                <w:color w:val="000000"/>
                <w:sz w:val="16"/>
                <w:szCs w:val="16"/>
              </w:rPr>
              <w:t>Wessels</w:t>
            </w:r>
            <w:proofErr w:type="spellEnd"/>
            <w:r w:rsidRPr="00275A7A">
              <w:rPr>
                <w:rFonts w:ascii="Verdana" w:eastAsia="Times New Roman" w:hAnsi="Verdana" w:cs="Times New Roman"/>
                <w:color w:val="000000"/>
                <w:sz w:val="16"/>
                <w:szCs w:val="16"/>
              </w:rPr>
              <w:t xml:space="preserve"> NO (2R), Anna-Marie Juliana Potgieter (3R), </w:t>
            </w:r>
            <w:proofErr w:type="spellStart"/>
            <w:r w:rsidRPr="00275A7A">
              <w:rPr>
                <w:rFonts w:ascii="Verdana" w:eastAsia="Times New Roman" w:hAnsi="Verdana" w:cs="Times New Roman"/>
                <w:color w:val="000000"/>
                <w:sz w:val="16"/>
                <w:szCs w:val="16"/>
              </w:rPr>
              <w:t>Jandre</w:t>
            </w:r>
            <w:proofErr w:type="spellEnd"/>
            <w:r w:rsidRPr="00275A7A">
              <w:rPr>
                <w:rFonts w:ascii="Verdana" w:eastAsia="Times New Roman" w:hAnsi="Verdana" w:cs="Times New Roman"/>
                <w:color w:val="000000"/>
                <w:sz w:val="16"/>
                <w:szCs w:val="16"/>
              </w:rPr>
              <w:t xml:space="preserve"> Venter (4R), </w:t>
            </w:r>
            <w:proofErr w:type="spellStart"/>
            <w:r w:rsidRPr="00275A7A">
              <w:rPr>
                <w:rFonts w:ascii="Verdana" w:eastAsia="Times New Roman" w:hAnsi="Verdana" w:cs="Times New Roman"/>
                <w:color w:val="000000"/>
                <w:sz w:val="16"/>
                <w:szCs w:val="16"/>
              </w:rPr>
              <w:t>Ruan</w:t>
            </w:r>
            <w:proofErr w:type="spellEnd"/>
            <w:r w:rsidRPr="00275A7A">
              <w:rPr>
                <w:rFonts w:ascii="Verdana" w:eastAsia="Times New Roman" w:hAnsi="Verdana" w:cs="Times New Roman"/>
                <w:color w:val="000000"/>
                <w:sz w:val="16"/>
                <w:szCs w:val="16"/>
              </w:rPr>
              <w:t xml:space="preserve"> Venter (5R), The Master of the North Gauteng High Court, Pretoria (6R), </w:t>
            </w:r>
            <w:proofErr w:type="spellStart"/>
            <w:r w:rsidRPr="00275A7A">
              <w:rPr>
                <w:rFonts w:ascii="Verdana" w:eastAsia="Times New Roman" w:hAnsi="Verdana" w:cs="Times New Roman"/>
                <w:color w:val="000000"/>
                <w:sz w:val="16"/>
                <w:szCs w:val="16"/>
              </w:rPr>
              <w:t>Theron</w:t>
            </w:r>
            <w:proofErr w:type="spellEnd"/>
            <w:r w:rsidRPr="00275A7A">
              <w:rPr>
                <w:rFonts w:ascii="Verdana" w:eastAsia="Times New Roman" w:hAnsi="Verdana" w:cs="Times New Roman"/>
                <w:color w:val="000000"/>
                <w:sz w:val="16"/>
                <w:szCs w:val="16"/>
              </w:rPr>
              <w:t xml:space="preserve"> </w:t>
            </w:r>
            <w:proofErr w:type="spellStart"/>
            <w:r w:rsidRPr="00275A7A">
              <w:rPr>
                <w:rFonts w:ascii="Verdana" w:eastAsia="Times New Roman" w:hAnsi="Verdana" w:cs="Times New Roman"/>
                <w:color w:val="000000"/>
                <w:sz w:val="16"/>
                <w:szCs w:val="16"/>
              </w:rPr>
              <w:t>Wessels</w:t>
            </w:r>
            <w:proofErr w:type="spellEnd"/>
            <w:r w:rsidRPr="00275A7A">
              <w:rPr>
                <w:rFonts w:ascii="Verdana" w:eastAsia="Times New Roman" w:hAnsi="Verdana" w:cs="Times New Roman"/>
                <w:color w:val="000000"/>
                <w:sz w:val="16"/>
                <w:szCs w:val="16"/>
              </w:rPr>
              <w:t xml:space="preserve"> (7R)</w:t>
            </w:r>
          </w:p>
        </w:tc>
      </w:tr>
      <w:tr w:rsidR="00275A7A" w:rsidRPr="00275A7A" w:rsidTr="00275A7A">
        <w:tc>
          <w:tcPr>
            <w:tcW w:w="0" w:type="auto"/>
            <w:hideMark/>
          </w:tcPr>
          <w:p w:rsidR="00275A7A" w:rsidRPr="00275A7A" w:rsidRDefault="00275A7A" w:rsidP="00275A7A">
            <w:pPr>
              <w:spacing w:before="40" w:after="0" w:line="240" w:lineRule="auto"/>
              <w:rPr>
                <w:rFonts w:ascii="Verdana" w:eastAsia="Times New Roman" w:hAnsi="Verdana" w:cs="Times New Roman"/>
                <w:color w:val="000000"/>
                <w:sz w:val="16"/>
                <w:szCs w:val="16"/>
              </w:rPr>
            </w:pPr>
            <w:r w:rsidRPr="00275A7A">
              <w:rPr>
                <w:rFonts w:ascii="Verdana" w:eastAsia="Times New Roman" w:hAnsi="Verdana" w:cs="Times New Roman"/>
                <w:b/>
                <w:bCs/>
                <w:color w:val="000000"/>
                <w:sz w:val="16"/>
                <w:szCs w:val="16"/>
              </w:rPr>
              <w:t>Appearance:</w:t>
            </w:r>
          </w:p>
        </w:tc>
        <w:tc>
          <w:tcPr>
            <w:tcW w:w="0" w:type="auto"/>
            <w:vAlign w:val="center"/>
            <w:hideMark/>
          </w:tcPr>
          <w:p w:rsidR="00275A7A" w:rsidRPr="00275A7A" w:rsidRDefault="00275A7A" w:rsidP="00275A7A">
            <w:pPr>
              <w:spacing w:before="40" w:after="0" w:line="240" w:lineRule="auto"/>
              <w:rPr>
                <w:rFonts w:ascii="Verdana" w:eastAsia="Times New Roman" w:hAnsi="Verdana" w:cs="Times New Roman"/>
                <w:color w:val="000000"/>
                <w:sz w:val="16"/>
                <w:szCs w:val="16"/>
              </w:rPr>
            </w:pPr>
            <w:r w:rsidRPr="00275A7A">
              <w:rPr>
                <w:rFonts w:ascii="Verdana" w:eastAsia="Times New Roman" w:hAnsi="Verdana" w:cs="Times New Roman"/>
                <w:color w:val="000000"/>
                <w:sz w:val="16"/>
                <w:szCs w:val="16"/>
              </w:rPr>
              <w:t xml:space="preserve">J H </w:t>
            </w:r>
            <w:proofErr w:type="spellStart"/>
            <w:r w:rsidRPr="00275A7A">
              <w:rPr>
                <w:rFonts w:ascii="Verdana" w:eastAsia="Times New Roman" w:hAnsi="Verdana" w:cs="Times New Roman"/>
                <w:color w:val="000000"/>
                <w:sz w:val="16"/>
                <w:szCs w:val="16"/>
              </w:rPr>
              <w:t>Ströh</w:t>
            </w:r>
            <w:proofErr w:type="spellEnd"/>
            <w:r w:rsidRPr="00275A7A">
              <w:rPr>
                <w:rFonts w:ascii="Verdana" w:eastAsia="Times New Roman" w:hAnsi="Verdana" w:cs="Times New Roman"/>
                <w:color w:val="000000"/>
                <w:sz w:val="16"/>
                <w:szCs w:val="16"/>
              </w:rPr>
              <w:t xml:space="preserve"> SC, P E Cilliers, </w:t>
            </w:r>
            <w:proofErr w:type="spellStart"/>
            <w:r w:rsidRPr="00275A7A">
              <w:rPr>
                <w:rFonts w:ascii="Verdana" w:eastAsia="Times New Roman" w:hAnsi="Verdana" w:cs="Times New Roman"/>
                <w:color w:val="000000"/>
                <w:sz w:val="16"/>
                <w:szCs w:val="16"/>
              </w:rPr>
              <w:t>Patshoane</w:t>
            </w:r>
            <w:proofErr w:type="spellEnd"/>
            <w:r w:rsidRPr="00275A7A">
              <w:rPr>
                <w:rFonts w:ascii="Verdana" w:eastAsia="Times New Roman" w:hAnsi="Verdana" w:cs="Times New Roman"/>
                <w:color w:val="000000"/>
                <w:sz w:val="16"/>
                <w:szCs w:val="16"/>
              </w:rPr>
              <w:t xml:space="preserve"> </w:t>
            </w:r>
            <w:proofErr w:type="spellStart"/>
            <w:r w:rsidRPr="00275A7A">
              <w:rPr>
                <w:rFonts w:ascii="Verdana" w:eastAsia="Times New Roman" w:hAnsi="Verdana" w:cs="Times New Roman"/>
                <w:color w:val="000000"/>
                <w:sz w:val="16"/>
                <w:szCs w:val="16"/>
              </w:rPr>
              <w:t>Henney</w:t>
            </w:r>
            <w:proofErr w:type="spellEnd"/>
            <w:r w:rsidRPr="00275A7A">
              <w:rPr>
                <w:rFonts w:ascii="Verdana" w:eastAsia="Times New Roman" w:hAnsi="Verdana" w:cs="Times New Roman"/>
                <w:color w:val="000000"/>
                <w:sz w:val="16"/>
                <w:szCs w:val="16"/>
              </w:rPr>
              <w:t xml:space="preserve"> Inc (A); F du </w:t>
            </w:r>
            <w:proofErr w:type="spellStart"/>
            <w:r w:rsidRPr="00275A7A">
              <w:rPr>
                <w:rFonts w:ascii="Verdana" w:eastAsia="Times New Roman" w:hAnsi="Verdana" w:cs="Times New Roman"/>
                <w:color w:val="000000"/>
                <w:sz w:val="16"/>
                <w:szCs w:val="16"/>
              </w:rPr>
              <w:t>Toit</w:t>
            </w:r>
            <w:proofErr w:type="spellEnd"/>
            <w:r w:rsidRPr="00275A7A">
              <w:rPr>
                <w:rFonts w:ascii="Verdana" w:eastAsia="Times New Roman" w:hAnsi="Verdana" w:cs="Times New Roman"/>
                <w:color w:val="000000"/>
                <w:sz w:val="16"/>
                <w:szCs w:val="16"/>
              </w:rPr>
              <w:t xml:space="preserve"> SC, M E </w:t>
            </w:r>
            <w:proofErr w:type="spellStart"/>
            <w:r w:rsidRPr="00275A7A">
              <w:rPr>
                <w:rFonts w:ascii="Verdana" w:eastAsia="Times New Roman" w:hAnsi="Verdana" w:cs="Times New Roman"/>
                <w:color w:val="000000"/>
                <w:sz w:val="16"/>
                <w:szCs w:val="16"/>
              </w:rPr>
              <w:t>Eybers</w:t>
            </w:r>
            <w:proofErr w:type="spellEnd"/>
            <w:r w:rsidRPr="00275A7A">
              <w:rPr>
                <w:rFonts w:ascii="Verdana" w:eastAsia="Times New Roman" w:hAnsi="Verdana" w:cs="Times New Roman"/>
                <w:color w:val="000000"/>
                <w:sz w:val="16"/>
                <w:szCs w:val="16"/>
              </w:rPr>
              <w:t xml:space="preserve"> Attorneys, </w:t>
            </w:r>
            <w:proofErr w:type="spellStart"/>
            <w:r w:rsidRPr="00275A7A">
              <w:rPr>
                <w:rFonts w:ascii="Verdana" w:eastAsia="Times New Roman" w:hAnsi="Verdana" w:cs="Times New Roman"/>
                <w:color w:val="000000"/>
                <w:sz w:val="16"/>
                <w:szCs w:val="16"/>
              </w:rPr>
              <w:t>Lovius</w:t>
            </w:r>
            <w:proofErr w:type="spellEnd"/>
            <w:r w:rsidRPr="00275A7A">
              <w:rPr>
                <w:rFonts w:ascii="Verdana" w:eastAsia="Times New Roman" w:hAnsi="Verdana" w:cs="Times New Roman"/>
                <w:color w:val="000000"/>
                <w:sz w:val="16"/>
                <w:szCs w:val="16"/>
              </w:rPr>
              <w:t xml:space="preserve"> Block Attorneys (R)</w:t>
            </w:r>
          </w:p>
        </w:tc>
      </w:tr>
      <w:tr w:rsidR="00275A7A" w:rsidRPr="00275A7A" w:rsidTr="00275A7A">
        <w:tc>
          <w:tcPr>
            <w:tcW w:w="0" w:type="auto"/>
            <w:hideMark/>
          </w:tcPr>
          <w:p w:rsidR="00275A7A" w:rsidRPr="00275A7A" w:rsidRDefault="00275A7A" w:rsidP="00275A7A">
            <w:pPr>
              <w:spacing w:before="40" w:after="0" w:line="240" w:lineRule="auto"/>
              <w:rPr>
                <w:rFonts w:ascii="Verdana" w:eastAsia="Times New Roman" w:hAnsi="Verdana" w:cs="Times New Roman"/>
                <w:color w:val="000000"/>
                <w:sz w:val="16"/>
                <w:szCs w:val="16"/>
              </w:rPr>
            </w:pPr>
            <w:r w:rsidRPr="00275A7A">
              <w:rPr>
                <w:rFonts w:ascii="Verdana" w:eastAsia="Times New Roman" w:hAnsi="Verdana" w:cs="Times New Roman"/>
                <w:b/>
                <w:bCs/>
                <w:color w:val="000000"/>
                <w:sz w:val="16"/>
                <w:szCs w:val="16"/>
              </w:rPr>
              <w:t>Categories:</w:t>
            </w:r>
          </w:p>
        </w:tc>
        <w:tc>
          <w:tcPr>
            <w:tcW w:w="0" w:type="auto"/>
            <w:vAlign w:val="center"/>
            <w:hideMark/>
          </w:tcPr>
          <w:p w:rsidR="00275A7A" w:rsidRPr="00275A7A" w:rsidRDefault="00275A7A" w:rsidP="00275A7A">
            <w:pPr>
              <w:spacing w:before="40" w:after="0" w:line="240" w:lineRule="auto"/>
              <w:rPr>
                <w:rFonts w:ascii="Verdana" w:eastAsia="Times New Roman" w:hAnsi="Verdana" w:cs="Times New Roman"/>
                <w:color w:val="000000"/>
                <w:sz w:val="16"/>
                <w:szCs w:val="16"/>
              </w:rPr>
            </w:pPr>
            <w:r w:rsidRPr="00275A7A">
              <w:rPr>
                <w:rFonts w:ascii="Verdana" w:eastAsia="Times New Roman" w:hAnsi="Verdana" w:cs="Times New Roman"/>
                <w:color w:val="000000"/>
                <w:sz w:val="16"/>
                <w:szCs w:val="16"/>
              </w:rPr>
              <w:t>Appeal – Civil – Substantive – Private</w:t>
            </w:r>
          </w:p>
        </w:tc>
      </w:tr>
      <w:tr w:rsidR="00275A7A" w:rsidRPr="00275A7A" w:rsidTr="00275A7A">
        <w:tc>
          <w:tcPr>
            <w:tcW w:w="0" w:type="auto"/>
            <w:hideMark/>
          </w:tcPr>
          <w:p w:rsidR="00275A7A" w:rsidRPr="00275A7A" w:rsidRDefault="00275A7A" w:rsidP="00275A7A">
            <w:pPr>
              <w:spacing w:before="40" w:after="0" w:line="240" w:lineRule="auto"/>
              <w:rPr>
                <w:rFonts w:ascii="Verdana" w:eastAsia="Times New Roman" w:hAnsi="Verdana" w:cs="Times New Roman"/>
                <w:color w:val="000000"/>
                <w:sz w:val="16"/>
                <w:szCs w:val="16"/>
              </w:rPr>
            </w:pPr>
            <w:r w:rsidRPr="00275A7A">
              <w:rPr>
                <w:rFonts w:ascii="Verdana" w:eastAsia="Times New Roman" w:hAnsi="Verdana" w:cs="Times New Roman"/>
                <w:b/>
                <w:bCs/>
                <w:color w:val="000000"/>
                <w:sz w:val="16"/>
                <w:szCs w:val="16"/>
              </w:rPr>
              <w:t>Function:</w:t>
            </w:r>
          </w:p>
        </w:tc>
        <w:tc>
          <w:tcPr>
            <w:tcW w:w="0" w:type="auto"/>
            <w:vAlign w:val="center"/>
            <w:hideMark/>
          </w:tcPr>
          <w:p w:rsidR="00275A7A" w:rsidRPr="00275A7A" w:rsidRDefault="00275A7A" w:rsidP="00275A7A">
            <w:pPr>
              <w:spacing w:before="40" w:after="0" w:line="240" w:lineRule="auto"/>
              <w:rPr>
                <w:rFonts w:ascii="Verdana" w:eastAsia="Times New Roman" w:hAnsi="Verdana" w:cs="Times New Roman"/>
                <w:color w:val="000000"/>
                <w:sz w:val="16"/>
                <w:szCs w:val="16"/>
              </w:rPr>
            </w:pPr>
            <w:r w:rsidRPr="00275A7A">
              <w:rPr>
                <w:rFonts w:ascii="Verdana" w:eastAsia="Times New Roman" w:hAnsi="Verdana" w:cs="Times New Roman"/>
                <w:color w:val="000000"/>
                <w:sz w:val="16"/>
                <w:szCs w:val="16"/>
              </w:rPr>
              <w:t>Confirms Legal Principle</w:t>
            </w:r>
          </w:p>
        </w:tc>
      </w:tr>
      <w:tr w:rsidR="00275A7A" w:rsidRPr="00275A7A" w:rsidTr="00275A7A">
        <w:tc>
          <w:tcPr>
            <w:tcW w:w="0" w:type="auto"/>
            <w:hideMark/>
          </w:tcPr>
          <w:p w:rsidR="00275A7A" w:rsidRPr="00275A7A" w:rsidRDefault="00275A7A" w:rsidP="00275A7A">
            <w:pPr>
              <w:spacing w:before="40" w:after="0" w:line="240" w:lineRule="auto"/>
              <w:rPr>
                <w:rFonts w:ascii="Verdana" w:eastAsia="Times New Roman" w:hAnsi="Verdana" w:cs="Times New Roman"/>
                <w:color w:val="000000"/>
                <w:sz w:val="16"/>
                <w:szCs w:val="16"/>
              </w:rPr>
            </w:pPr>
            <w:r w:rsidRPr="00275A7A">
              <w:rPr>
                <w:rFonts w:ascii="Verdana" w:eastAsia="Times New Roman" w:hAnsi="Verdana" w:cs="Times New Roman"/>
                <w:b/>
                <w:bCs/>
                <w:color w:val="000000"/>
                <w:sz w:val="16"/>
                <w:szCs w:val="16"/>
              </w:rPr>
              <w:t>Relevant Legislation:</w:t>
            </w:r>
          </w:p>
        </w:tc>
        <w:tc>
          <w:tcPr>
            <w:tcW w:w="0" w:type="auto"/>
            <w:vAlign w:val="center"/>
            <w:hideMark/>
          </w:tcPr>
          <w:p w:rsidR="00275A7A" w:rsidRPr="00275A7A" w:rsidRDefault="00275A7A" w:rsidP="00275A7A">
            <w:pPr>
              <w:spacing w:before="40" w:after="0" w:line="240" w:lineRule="auto"/>
              <w:rPr>
                <w:rFonts w:ascii="Verdana" w:eastAsia="Times New Roman" w:hAnsi="Verdana" w:cs="Times New Roman"/>
                <w:color w:val="000000"/>
                <w:sz w:val="16"/>
                <w:szCs w:val="16"/>
              </w:rPr>
            </w:pPr>
            <w:r w:rsidRPr="00275A7A">
              <w:rPr>
                <w:rFonts w:ascii="Verdana" w:eastAsia="Times New Roman" w:hAnsi="Verdana" w:cs="Times New Roman"/>
                <w:color w:val="000000"/>
                <w:sz w:val="16"/>
                <w:szCs w:val="16"/>
              </w:rPr>
              <w:t>Trust Property Control Act 57 of 1988</w:t>
            </w:r>
          </w:p>
        </w:tc>
      </w:tr>
    </w:tbl>
    <w:p w:rsidR="00275A7A" w:rsidRPr="00275A7A" w:rsidRDefault="00275A7A" w:rsidP="00275A7A">
      <w:pPr>
        <w:spacing w:before="240" w:after="0" w:line="240" w:lineRule="auto"/>
        <w:jc w:val="both"/>
        <w:rPr>
          <w:rFonts w:ascii="Verdana" w:eastAsia="Times New Roman" w:hAnsi="Verdana" w:cs="Times New Roman"/>
          <w:b/>
          <w:bCs/>
          <w:color w:val="000000"/>
          <w:sz w:val="18"/>
          <w:szCs w:val="18"/>
        </w:rPr>
      </w:pPr>
      <w:r w:rsidRPr="00275A7A">
        <w:rPr>
          <w:rFonts w:ascii="Verdana" w:eastAsia="Times New Roman" w:hAnsi="Verdana" w:cs="Times New Roman"/>
          <w:b/>
          <w:bCs/>
          <w:color w:val="000000"/>
          <w:sz w:val="18"/>
          <w:szCs w:val="18"/>
        </w:rPr>
        <w:t>This is an appeal from the North Gauteng High Court, Pretoria against the finding of Bertelsmann J (sitting as a court of first instance) – Ed.</w:t>
      </w:r>
    </w:p>
    <w:p w:rsidR="00275A7A" w:rsidRPr="00275A7A" w:rsidRDefault="00275A7A" w:rsidP="00275A7A">
      <w:pPr>
        <w:spacing w:before="240" w:after="0" w:line="240" w:lineRule="auto"/>
        <w:jc w:val="both"/>
        <w:rPr>
          <w:rFonts w:ascii="Verdana" w:eastAsia="Times New Roman" w:hAnsi="Verdana" w:cs="Times New Roman"/>
          <w:b/>
          <w:bCs/>
          <w:color w:val="000000"/>
          <w:sz w:val="18"/>
          <w:szCs w:val="18"/>
        </w:rPr>
      </w:pPr>
      <w:r w:rsidRPr="00275A7A">
        <w:rPr>
          <w:rFonts w:ascii="Verdana" w:eastAsia="Times New Roman" w:hAnsi="Verdana" w:cs="Times New Roman"/>
          <w:b/>
          <w:bCs/>
          <w:color w:val="000000"/>
          <w:sz w:val="18"/>
          <w:szCs w:val="18"/>
        </w:rPr>
        <w:t>Key Words</w:t>
      </w:r>
    </w:p>
    <w:p w:rsidR="00275A7A" w:rsidRPr="00275A7A" w:rsidRDefault="00275A7A" w:rsidP="00275A7A">
      <w:pPr>
        <w:spacing w:before="180" w:after="0" w:line="240" w:lineRule="auto"/>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 xml:space="preserve">Trusts – Trust deed – Variation of – Validity – Where consent of beneficiaries, on whose behalf benefits conferred upon them by original trust deed had previously been accepted, was not obtained, purported variation was invalid – In granting remedy, court was obliged to follow the tenets of common law and to implement the trust deed in its original, </w:t>
      </w:r>
      <w:proofErr w:type="spellStart"/>
      <w:r w:rsidRPr="00275A7A">
        <w:rPr>
          <w:rFonts w:ascii="Verdana" w:eastAsia="Times New Roman" w:hAnsi="Verdana" w:cs="Times New Roman"/>
          <w:color w:val="000000"/>
          <w:sz w:val="18"/>
          <w:szCs w:val="18"/>
        </w:rPr>
        <w:t>unamended</w:t>
      </w:r>
      <w:proofErr w:type="spellEnd"/>
      <w:r w:rsidRPr="00275A7A">
        <w:rPr>
          <w:rFonts w:ascii="Verdana" w:eastAsia="Times New Roman" w:hAnsi="Verdana" w:cs="Times New Roman"/>
          <w:color w:val="000000"/>
          <w:sz w:val="18"/>
          <w:szCs w:val="18"/>
        </w:rPr>
        <w:t xml:space="preserve"> form </w:t>
      </w:r>
    </w:p>
    <w:p w:rsidR="00275A7A" w:rsidRPr="00275A7A" w:rsidRDefault="00275A7A" w:rsidP="00275A7A">
      <w:pPr>
        <w:spacing w:before="240" w:after="0" w:line="240" w:lineRule="auto"/>
        <w:rPr>
          <w:rFonts w:ascii="Verdana" w:eastAsia="Times New Roman" w:hAnsi="Verdana" w:cs="Times New Roman"/>
          <w:b/>
          <w:bCs/>
          <w:color w:val="000000"/>
          <w:sz w:val="18"/>
          <w:szCs w:val="18"/>
        </w:rPr>
      </w:pPr>
      <w:r w:rsidRPr="00275A7A">
        <w:rPr>
          <w:rFonts w:ascii="Verdana" w:eastAsia="Times New Roman" w:hAnsi="Verdana" w:cs="Times New Roman"/>
          <w:b/>
          <w:bCs/>
          <w:color w:val="000000"/>
          <w:sz w:val="18"/>
          <w:szCs w:val="18"/>
        </w:rPr>
        <w:t>Cases</w:t>
      </w:r>
    </w:p>
    <w:p w:rsidR="00275A7A" w:rsidRPr="00275A7A" w:rsidRDefault="00275A7A" w:rsidP="00275A7A">
      <w:pPr>
        <w:spacing w:before="180" w:after="0" w:line="240" w:lineRule="auto"/>
        <w:jc w:val="both"/>
        <w:rPr>
          <w:rFonts w:ascii="Verdana" w:eastAsia="Times New Roman" w:hAnsi="Verdana" w:cs="Times New Roman"/>
          <w:color w:val="000000"/>
          <w:sz w:val="18"/>
          <w:szCs w:val="18"/>
        </w:rPr>
      </w:pPr>
      <w:r w:rsidRPr="00275A7A">
        <w:rPr>
          <w:rFonts w:ascii="Verdana" w:eastAsia="Times New Roman" w:hAnsi="Verdana" w:cs="Times New Roman"/>
          <w:i/>
          <w:iCs/>
          <w:color w:val="000000"/>
          <w:sz w:val="18"/>
          <w:szCs w:val="18"/>
        </w:rPr>
        <w:t xml:space="preserve">Crookes NO v Watson </w:t>
      </w:r>
      <w:r w:rsidRPr="00275A7A">
        <w:rPr>
          <w:rFonts w:ascii="Verdana" w:eastAsia="Times New Roman" w:hAnsi="Verdana" w:cs="Times New Roman"/>
          <w:color w:val="000000"/>
          <w:sz w:val="18"/>
          <w:szCs w:val="18"/>
        </w:rPr>
        <w:t xml:space="preserve">1956 (1) SA 277 (A) – </w:t>
      </w:r>
      <w:r w:rsidRPr="00275A7A">
        <w:rPr>
          <w:rFonts w:ascii="Verdana" w:eastAsia="Times New Roman" w:hAnsi="Verdana" w:cs="Times New Roman"/>
          <w:b/>
          <w:bCs/>
          <w:color w:val="000000"/>
          <w:sz w:val="18"/>
          <w:szCs w:val="18"/>
        </w:rPr>
        <w:t xml:space="preserve">Referred to </w:t>
      </w:r>
    </w:p>
    <w:p w:rsidR="00275A7A" w:rsidRPr="00275A7A" w:rsidRDefault="00275A7A" w:rsidP="00275A7A">
      <w:pPr>
        <w:spacing w:before="180" w:after="0" w:line="240" w:lineRule="auto"/>
        <w:jc w:val="both"/>
        <w:rPr>
          <w:rFonts w:ascii="Verdana" w:eastAsia="Times New Roman" w:hAnsi="Verdana" w:cs="Times New Roman"/>
          <w:color w:val="000000"/>
          <w:sz w:val="18"/>
          <w:szCs w:val="18"/>
        </w:rPr>
      </w:pPr>
      <w:r w:rsidRPr="00275A7A">
        <w:rPr>
          <w:rFonts w:ascii="Verdana" w:eastAsia="Times New Roman" w:hAnsi="Verdana" w:cs="Times New Roman"/>
          <w:i/>
          <w:iCs/>
          <w:color w:val="000000"/>
          <w:sz w:val="18"/>
          <w:szCs w:val="18"/>
        </w:rPr>
        <w:t xml:space="preserve">Ex parte </w:t>
      </w:r>
      <w:proofErr w:type="spellStart"/>
      <w:r w:rsidRPr="00275A7A">
        <w:rPr>
          <w:rFonts w:ascii="Verdana" w:eastAsia="Times New Roman" w:hAnsi="Verdana" w:cs="Times New Roman"/>
          <w:i/>
          <w:iCs/>
          <w:color w:val="000000"/>
          <w:sz w:val="18"/>
          <w:szCs w:val="18"/>
        </w:rPr>
        <w:t>Hulton</w:t>
      </w:r>
      <w:proofErr w:type="spellEnd"/>
      <w:r w:rsidRPr="00275A7A">
        <w:rPr>
          <w:rFonts w:ascii="Verdana" w:eastAsia="Times New Roman" w:hAnsi="Verdana" w:cs="Times New Roman"/>
          <w:i/>
          <w:iCs/>
          <w:color w:val="000000"/>
          <w:sz w:val="18"/>
          <w:szCs w:val="18"/>
        </w:rPr>
        <w:t xml:space="preserve"> </w:t>
      </w:r>
      <w:r w:rsidRPr="00275A7A">
        <w:rPr>
          <w:rFonts w:ascii="Verdana" w:eastAsia="Times New Roman" w:hAnsi="Verdana" w:cs="Times New Roman"/>
          <w:color w:val="000000"/>
          <w:sz w:val="18"/>
          <w:szCs w:val="18"/>
        </w:rPr>
        <w:t xml:space="preserve">1954 (1) SA 460 (C) – </w:t>
      </w:r>
      <w:r w:rsidRPr="00275A7A">
        <w:rPr>
          <w:rFonts w:ascii="Verdana" w:eastAsia="Times New Roman" w:hAnsi="Verdana" w:cs="Times New Roman"/>
          <w:b/>
          <w:bCs/>
          <w:color w:val="000000"/>
          <w:sz w:val="18"/>
          <w:szCs w:val="18"/>
        </w:rPr>
        <w:t xml:space="preserve">Referred to </w:t>
      </w:r>
    </w:p>
    <w:p w:rsidR="00275A7A" w:rsidRPr="00275A7A" w:rsidRDefault="00275A7A" w:rsidP="00275A7A">
      <w:pPr>
        <w:spacing w:before="180" w:after="0" w:line="240" w:lineRule="auto"/>
        <w:jc w:val="both"/>
        <w:rPr>
          <w:rFonts w:ascii="Verdana" w:eastAsia="Times New Roman" w:hAnsi="Verdana" w:cs="Times New Roman"/>
          <w:color w:val="000000"/>
          <w:sz w:val="18"/>
          <w:szCs w:val="18"/>
        </w:rPr>
      </w:pPr>
      <w:r w:rsidRPr="00275A7A">
        <w:rPr>
          <w:rFonts w:ascii="Verdana" w:eastAsia="Times New Roman" w:hAnsi="Verdana" w:cs="Times New Roman"/>
          <w:i/>
          <w:iCs/>
          <w:color w:val="000000"/>
          <w:sz w:val="18"/>
          <w:szCs w:val="18"/>
        </w:rPr>
        <w:t xml:space="preserve">Hofer v </w:t>
      </w:r>
      <w:proofErr w:type="spellStart"/>
      <w:r w:rsidRPr="00275A7A">
        <w:rPr>
          <w:rFonts w:ascii="Verdana" w:eastAsia="Times New Roman" w:hAnsi="Verdana" w:cs="Times New Roman"/>
          <w:i/>
          <w:iCs/>
          <w:color w:val="000000"/>
          <w:sz w:val="18"/>
          <w:szCs w:val="18"/>
        </w:rPr>
        <w:t>Kevitt</w:t>
      </w:r>
      <w:proofErr w:type="spellEnd"/>
      <w:r w:rsidRPr="00275A7A">
        <w:rPr>
          <w:rFonts w:ascii="Verdana" w:eastAsia="Times New Roman" w:hAnsi="Verdana" w:cs="Times New Roman"/>
          <w:i/>
          <w:iCs/>
          <w:color w:val="000000"/>
          <w:sz w:val="18"/>
          <w:szCs w:val="18"/>
        </w:rPr>
        <w:t xml:space="preserve"> NO </w:t>
      </w:r>
      <w:r w:rsidRPr="00275A7A">
        <w:rPr>
          <w:rFonts w:ascii="Verdana" w:eastAsia="Times New Roman" w:hAnsi="Verdana" w:cs="Times New Roman"/>
          <w:color w:val="000000"/>
          <w:sz w:val="18"/>
          <w:szCs w:val="18"/>
        </w:rPr>
        <w:t xml:space="preserve">1998 (1) SA 382 (SCA) – </w:t>
      </w:r>
      <w:r w:rsidRPr="00275A7A">
        <w:rPr>
          <w:rFonts w:ascii="Verdana" w:eastAsia="Times New Roman" w:hAnsi="Verdana" w:cs="Times New Roman"/>
          <w:b/>
          <w:bCs/>
          <w:color w:val="000000"/>
          <w:sz w:val="18"/>
          <w:szCs w:val="18"/>
        </w:rPr>
        <w:t xml:space="preserve">Referred to </w:t>
      </w:r>
    </w:p>
    <w:p w:rsidR="00275A7A" w:rsidRPr="00275A7A" w:rsidRDefault="00275A7A" w:rsidP="00275A7A">
      <w:pPr>
        <w:spacing w:before="180" w:after="0" w:line="240" w:lineRule="auto"/>
        <w:jc w:val="both"/>
        <w:rPr>
          <w:rFonts w:ascii="Verdana" w:eastAsia="Times New Roman" w:hAnsi="Verdana" w:cs="Times New Roman"/>
          <w:color w:val="000000"/>
          <w:sz w:val="18"/>
          <w:szCs w:val="18"/>
        </w:rPr>
      </w:pPr>
      <w:r w:rsidRPr="00275A7A">
        <w:rPr>
          <w:rFonts w:ascii="Verdana" w:eastAsia="Times New Roman" w:hAnsi="Verdana" w:cs="Times New Roman"/>
          <w:i/>
          <w:iCs/>
          <w:color w:val="000000"/>
          <w:sz w:val="18"/>
          <w:szCs w:val="18"/>
        </w:rPr>
        <w:t xml:space="preserve">KPMG Chartered Accountants (SA) v </w:t>
      </w:r>
      <w:proofErr w:type="spellStart"/>
      <w:r w:rsidRPr="00275A7A">
        <w:rPr>
          <w:rFonts w:ascii="Verdana" w:eastAsia="Times New Roman" w:hAnsi="Verdana" w:cs="Times New Roman"/>
          <w:i/>
          <w:iCs/>
          <w:color w:val="000000"/>
          <w:sz w:val="18"/>
          <w:szCs w:val="18"/>
        </w:rPr>
        <w:t>Securefin</w:t>
      </w:r>
      <w:proofErr w:type="spellEnd"/>
      <w:r w:rsidRPr="00275A7A">
        <w:rPr>
          <w:rFonts w:ascii="Verdana" w:eastAsia="Times New Roman" w:hAnsi="Verdana" w:cs="Times New Roman"/>
          <w:i/>
          <w:iCs/>
          <w:color w:val="000000"/>
          <w:sz w:val="18"/>
          <w:szCs w:val="18"/>
        </w:rPr>
        <w:t xml:space="preserve"> Ltd </w:t>
      </w:r>
      <w:r w:rsidRPr="00275A7A">
        <w:rPr>
          <w:rFonts w:ascii="Verdana" w:eastAsia="Times New Roman" w:hAnsi="Verdana" w:cs="Times New Roman"/>
          <w:color w:val="000000"/>
          <w:sz w:val="18"/>
          <w:szCs w:val="18"/>
        </w:rPr>
        <w:t xml:space="preserve">2009 (4) SA 399 (SCA) – </w:t>
      </w:r>
      <w:r w:rsidRPr="00275A7A">
        <w:rPr>
          <w:rFonts w:ascii="Verdana" w:eastAsia="Times New Roman" w:hAnsi="Verdana" w:cs="Times New Roman"/>
          <w:b/>
          <w:bCs/>
          <w:color w:val="000000"/>
          <w:sz w:val="18"/>
          <w:szCs w:val="18"/>
        </w:rPr>
        <w:t xml:space="preserve">Referred to </w:t>
      </w:r>
    </w:p>
    <w:p w:rsidR="00275A7A" w:rsidRPr="00275A7A" w:rsidRDefault="00275A7A" w:rsidP="00275A7A">
      <w:pPr>
        <w:spacing w:before="180" w:after="0" w:line="240" w:lineRule="auto"/>
        <w:jc w:val="both"/>
        <w:rPr>
          <w:rFonts w:ascii="Verdana" w:eastAsia="Times New Roman" w:hAnsi="Verdana" w:cs="Times New Roman"/>
          <w:color w:val="000000"/>
          <w:sz w:val="18"/>
          <w:szCs w:val="18"/>
        </w:rPr>
      </w:pPr>
      <w:r w:rsidRPr="00275A7A">
        <w:rPr>
          <w:rFonts w:ascii="Verdana" w:eastAsia="Times New Roman" w:hAnsi="Verdana" w:cs="Times New Roman"/>
          <w:i/>
          <w:iCs/>
          <w:color w:val="000000"/>
          <w:sz w:val="18"/>
          <w:szCs w:val="18"/>
        </w:rPr>
        <w:t xml:space="preserve">Glen </w:t>
      </w:r>
      <w:proofErr w:type="spellStart"/>
      <w:r w:rsidRPr="00275A7A">
        <w:rPr>
          <w:rFonts w:ascii="Verdana" w:eastAsia="Times New Roman" w:hAnsi="Verdana" w:cs="Times New Roman"/>
          <w:i/>
          <w:iCs/>
          <w:color w:val="000000"/>
          <w:sz w:val="18"/>
          <w:szCs w:val="18"/>
        </w:rPr>
        <w:t>Comeragh</w:t>
      </w:r>
      <w:proofErr w:type="spellEnd"/>
      <w:r w:rsidRPr="00275A7A">
        <w:rPr>
          <w:rFonts w:ascii="Verdana" w:eastAsia="Times New Roman" w:hAnsi="Verdana" w:cs="Times New Roman"/>
          <w:i/>
          <w:iCs/>
          <w:color w:val="000000"/>
          <w:sz w:val="18"/>
          <w:szCs w:val="18"/>
        </w:rPr>
        <w:t xml:space="preserve"> (Pty) Ltd v </w:t>
      </w:r>
      <w:proofErr w:type="spellStart"/>
      <w:r w:rsidRPr="00275A7A">
        <w:rPr>
          <w:rFonts w:ascii="Verdana" w:eastAsia="Times New Roman" w:hAnsi="Verdana" w:cs="Times New Roman"/>
          <w:i/>
          <w:iCs/>
          <w:color w:val="000000"/>
          <w:sz w:val="18"/>
          <w:szCs w:val="18"/>
        </w:rPr>
        <w:t>Colibri</w:t>
      </w:r>
      <w:proofErr w:type="spellEnd"/>
      <w:r w:rsidRPr="00275A7A">
        <w:rPr>
          <w:rFonts w:ascii="Verdana" w:eastAsia="Times New Roman" w:hAnsi="Verdana" w:cs="Times New Roman"/>
          <w:i/>
          <w:iCs/>
          <w:color w:val="000000"/>
          <w:sz w:val="18"/>
          <w:szCs w:val="18"/>
        </w:rPr>
        <w:t xml:space="preserve"> (Pty) Ltd </w:t>
      </w:r>
      <w:r w:rsidRPr="00275A7A">
        <w:rPr>
          <w:rFonts w:ascii="Verdana" w:eastAsia="Times New Roman" w:hAnsi="Verdana" w:cs="Times New Roman"/>
          <w:color w:val="000000"/>
          <w:sz w:val="18"/>
          <w:szCs w:val="18"/>
        </w:rPr>
        <w:t xml:space="preserve">1979 (3) SA 210 (T) – </w:t>
      </w:r>
      <w:r w:rsidRPr="00275A7A">
        <w:rPr>
          <w:rFonts w:ascii="Verdana" w:eastAsia="Times New Roman" w:hAnsi="Verdana" w:cs="Times New Roman"/>
          <w:b/>
          <w:bCs/>
          <w:color w:val="000000"/>
          <w:sz w:val="18"/>
          <w:szCs w:val="18"/>
        </w:rPr>
        <w:t xml:space="preserve">Referred to </w:t>
      </w:r>
    </w:p>
    <w:p w:rsidR="00275A7A" w:rsidRPr="00275A7A" w:rsidRDefault="00275A7A" w:rsidP="00275A7A">
      <w:pPr>
        <w:spacing w:before="180" w:after="0" w:line="240" w:lineRule="auto"/>
        <w:jc w:val="both"/>
        <w:rPr>
          <w:rFonts w:ascii="Verdana" w:eastAsia="Times New Roman" w:hAnsi="Verdana" w:cs="Times New Roman"/>
          <w:color w:val="000000"/>
          <w:sz w:val="18"/>
          <w:szCs w:val="18"/>
        </w:rPr>
      </w:pPr>
      <w:r w:rsidRPr="00275A7A">
        <w:rPr>
          <w:rFonts w:ascii="Verdana" w:eastAsia="Times New Roman" w:hAnsi="Verdana" w:cs="Times New Roman"/>
          <w:i/>
          <w:iCs/>
          <w:color w:val="000000"/>
          <w:sz w:val="18"/>
          <w:szCs w:val="18"/>
        </w:rPr>
        <w:t xml:space="preserve">Coopers &amp; Lybrand v Bryant </w:t>
      </w:r>
      <w:r w:rsidRPr="00275A7A">
        <w:rPr>
          <w:rFonts w:ascii="Verdana" w:eastAsia="Times New Roman" w:hAnsi="Verdana" w:cs="Times New Roman"/>
          <w:color w:val="000000"/>
          <w:sz w:val="18"/>
          <w:szCs w:val="18"/>
        </w:rPr>
        <w:t xml:space="preserve">1995 (3) SA 761 (A) – </w:t>
      </w:r>
      <w:r w:rsidRPr="00275A7A">
        <w:rPr>
          <w:rFonts w:ascii="Verdana" w:eastAsia="Times New Roman" w:hAnsi="Verdana" w:cs="Times New Roman"/>
          <w:b/>
          <w:bCs/>
          <w:color w:val="000000"/>
          <w:sz w:val="18"/>
          <w:szCs w:val="18"/>
        </w:rPr>
        <w:t xml:space="preserve">Referred to </w:t>
      </w:r>
    </w:p>
    <w:p w:rsidR="00275A7A" w:rsidRPr="00275A7A" w:rsidRDefault="00275A7A" w:rsidP="00275A7A">
      <w:pPr>
        <w:spacing w:before="180" w:after="0" w:line="240" w:lineRule="auto"/>
        <w:jc w:val="both"/>
        <w:rPr>
          <w:rFonts w:ascii="Verdana" w:eastAsia="Times New Roman" w:hAnsi="Verdana" w:cs="Times New Roman"/>
          <w:color w:val="000000"/>
          <w:sz w:val="18"/>
          <w:szCs w:val="18"/>
        </w:rPr>
      </w:pPr>
      <w:r w:rsidRPr="00275A7A">
        <w:rPr>
          <w:rFonts w:ascii="Verdana" w:eastAsia="Times New Roman" w:hAnsi="Verdana" w:cs="Times New Roman"/>
          <w:i/>
          <w:iCs/>
          <w:color w:val="000000"/>
          <w:sz w:val="18"/>
          <w:szCs w:val="18"/>
        </w:rPr>
        <w:t xml:space="preserve">Gross v </w:t>
      </w:r>
      <w:proofErr w:type="spellStart"/>
      <w:r w:rsidRPr="00275A7A">
        <w:rPr>
          <w:rFonts w:ascii="Verdana" w:eastAsia="Times New Roman" w:hAnsi="Verdana" w:cs="Times New Roman"/>
          <w:i/>
          <w:iCs/>
          <w:color w:val="000000"/>
          <w:sz w:val="18"/>
          <w:szCs w:val="18"/>
        </w:rPr>
        <w:t>Pentz</w:t>
      </w:r>
      <w:proofErr w:type="spellEnd"/>
      <w:r w:rsidRPr="00275A7A">
        <w:rPr>
          <w:rFonts w:ascii="Verdana" w:eastAsia="Times New Roman" w:hAnsi="Verdana" w:cs="Times New Roman"/>
          <w:i/>
          <w:iCs/>
          <w:color w:val="000000"/>
          <w:sz w:val="18"/>
          <w:szCs w:val="18"/>
        </w:rPr>
        <w:t xml:space="preserve"> </w:t>
      </w:r>
      <w:r w:rsidRPr="00275A7A">
        <w:rPr>
          <w:rFonts w:ascii="Verdana" w:eastAsia="Times New Roman" w:hAnsi="Verdana" w:cs="Times New Roman"/>
          <w:color w:val="000000"/>
          <w:sz w:val="18"/>
          <w:szCs w:val="18"/>
        </w:rPr>
        <w:t xml:space="preserve">1996 (4) SA 617 (A) – </w:t>
      </w:r>
      <w:r w:rsidRPr="00275A7A">
        <w:rPr>
          <w:rFonts w:ascii="Verdana" w:eastAsia="Times New Roman" w:hAnsi="Verdana" w:cs="Times New Roman"/>
          <w:b/>
          <w:bCs/>
          <w:color w:val="000000"/>
          <w:sz w:val="18"/>
          <w:szCs w:val="18"/>
        </w:rPr>
        <w:t xml:space="preserve">Referred to </w:t>
      </w:r>
    </w:p>
    <w:p w:rsidR="00275A7A" w:rsidRPr="00275A7A" w:rsidRDefault="00275A7A" w:rsidP="00275A7A">
      <w:pPr>
        <w:spacing w:before="180" w:after="0" w:line="240" w:lineRule="auto"/>
        <w:jc w:val="both"/>
        <w:rPr>
          <w:rFonts w:ascii="Verdana" w:eastAsia="Times New Roman" w:hAnsi="Verdana" w:cs="Times New Roman"/>
          <w:color w:val="000000"/>
          <w:sz w:val="18"/>
          <w:szCs w:val="18"/>
        </w:rPr>
      </w:pPr>
      <w:proofErr w:type="spellStart"/>
      <w:r w:rsidRPr="00275A7A">
        <w:rPr>
          <w:rFonts w:ascii="Verdana" w:eastAsia="Times New Roman" w:hAnsi="Verdana" w:cs="Times New Roman"/>
          <w:i/>
          <w:iCs/>
          <w:color w:val="000000"/>
          <w:sz w:val="18"/>
          <w:szCs w:val="18"/>
        </w:rPr>
        <w:t>Barkhuizen</w:t>
      </w:r>
      <w:proofErr w:type="spellEnd"/>
      <w:r w:rsidRPr="00275A7A">
        <w:rPr>
          <w:rFonts w:ascii="Verdana" w:eastAsia="Times New Roman" w:hAnsi="Verdana" w:cs="Times New Roman"/>
          <w:i/>
          <w:iCs/>
          <w:color w:val="000000"/>
          <w:sz w:val="18"/>
          <w:szCs w:val="18"/>
        </w:rPr>
        <w:t xml:space="preserve"> v Napier </w:t>
      </w:r>
      <w:r w:rsidRPr="00275A7A">
        <w:rPr>
          <w:rFonts w:ascii="Verdana" w:eastAsia="Times New Roman" w:hAnsi="Verdana" w:cs="Times New Roman"/>
          <w:color w:val="000000"/>
          <w:sz w:val="18"/>
          <w:szCs w:val="18"/>
        </w:rPr>
        <w:t xml:space="preserve">2007 (5) SA 323 (CC) – </w:t>
      </w:r>
      <w:r w:rsidRPr="00275A7A">
        <w:rPr>
          <w:rFonts w:ascii="Verdana" w:eastAsia="Times New Roman" w:hAnsi="Verdana" w:cs="Times New Roman"/>
          <w:b/>
          <w:bCs/>
          <w:color w:val="000000"/>
          <w:sz w:val="18"/>
          <w:szCs w:val="18"/>
        </w:rPr>
        <w:t xml:space="preserve">Referred to </w:t>
      </w:r>
    </w:p>
    <w:p w:rsidR="00275A7A" w:rsidRPr="00275A7A" w:rsidRDefault="00275A7A" w:rsidP="00275A7A">
      <w:pPr>
        <w:spacing w:before="180" w:after="0" w:line="240" w:lineRule="auto"/>
        <w:jc w:val="both"/>
        <w:rPr>
          <w:rFonts w:ascii="Verdana" w:eastAsia="Times New Roman" w:hAnsi="Verdana" w:cs="Times New Roman"/>
          <w:color w:val="000000"/>
          <w:sz w:val="18"/>
          <w:szCs w:val="18"/>
        </w:rPr>
      </w:pPr>
      <w:proofErr w:type="spellStart"/>
      <w:r w:rsidRPr="00275A7A">
        <w:rPr>
          <w:rFonts w:ascii="Verdana" w:eastAsia="Times New Roman" w:hAnsi="Verdana" w:cs="Times New Roman"/>
          <w:i/>
          <w:iCs/>
          <w:color w:val="000000"/>
          <w:sz w:val="18"/>
          <w:szCs w:val="18"/>
        </w:rPr>
        <w:t>Bredenkamp</w:t>
      </w:r>
      <w:proofErr w:type="spellEnd"/>
      <w:r w:rsidRPr="00275A7A">
        <w:rPr>
          <w:rFonts w:ascii="Verdana" w:eastAsia="Times New Roman" w:hAnsi="Verdana" w:cs="Times New Roman"/>
          <w:i/>
          <w:iCs/>
          <w:color w:val="000000"/>
          <w:sz w:val="18"/>
          <w:szCs w:val="18"/>
        </w:rPr>
        <w:t xml:space="preserve"> v Standard Bank of South Africa Ltd </w:t>
      </w:r>
      <w:r w:rsidRPr="00275A7A">
        <w:rPr>
          <w:rFonts w:ascii="Verdana" w:eastAsia="Times New Roman" w:hAnsi="Verdana" w:cs="Times New Roman"/>
          <w:color w:val="000000"/>
          <w:sz w:val="18"/>
          <w:szCs w:val="18"/>
        </w:rPr>
        <w:t xml:space="preserve">2010 (4) SA 468 (SCA) – </w:t>
      </w:r>
      <w:r w:rsidRPr="00275A7A">
        <w:rPr>
          <w:rFonts w:ascii="Verdana" w:eastAsia="Times New Roman" w:hAnsi="Verdana" w:cs="Times New Roman"/>
          <w:b/>
          <w:bCs/>
          <w:color w:val="000000"/>
          <w:sz w:val="18"/>
          <w:szCs w:val="18"/>
        </w:rPr>
        <w:t xml:space="preserve">Applied </w:t>
      </w:r>
    </w:p>
    <w:p w:rsidR="00275A7A" w:rsidRPr="00275A7A" w:rsidRDefault="00275A7A" w:rsidP="00275A7A">
      <w:pPr>
        <w:spacing w:before="180" w:after="0" w:line="240" w:lineRule="auto"/>
        <w:jc w:val="both"/>
        <w:rPr>
          <w:rFonts w:ascii="Verdana" w:eastAsia="Times New Roman" w:hAnsi="Verdana" w:cs="Times New Roman"/>
          <w:color w:val="000000"/>
          <w:sz w:val="18"/>
          <w:szCs w:val="18"/>
        </w:rPr>
      </w:pPr>
      <w:r w:rsidRPr="00275A7A">
        <w:rPr>
          <w:rFonts w:ascii="Verdana" w:eastAsia="Times New Roman" w:hAnsi="Verdana" w:cs="Times New Roman"/>
          <w:i/>
          <w:iCs/>
          <w:color w:val="000000"/>
          <w:sz w:val="18"/>
          <w:szCs w:val="18"/>
        </w:rPr>
        <w:t xml:space="preserve">South African Forestry Co Ltd v York Timbers Ltd </w:t>
      </w:r>
      <w:r w:rsidRPr="00275A7A">
        <w:rPr>
          <w:rFonts w:ascii="Verdana" w:eastAsia="Times New Roman" w:hAnsi="Verdana" w:cs="Times New Roman"/>
          <w:color w:val="000000"/>
          <w:sz w:val="18"/>
          <w:szCs w:val="18"/>
        </w:rPr>
        <w:t xml:space="preserve">2005 (3) SA 323 (SCA) – </w:t>
      </w:r>
      <w:r w:rsidRPr="00275A7A">
        <w:rPr>
          <w:rFonts w:ascii="Verdana" w:eastAsia="Times New Roman" w:hAnsi="Verdana" w:cs="Times New Roman"/>
          <w:b/>
          <w:bCs/>
          <w:color w:val="000000"/>
          <w:sz w:val="18"/>
          <w:szCs w:val="18"/>
        </w:rPr>
        <w:t xml:space="preserve">Referred to </w:t>
      </w:r>
    </w:p>
    <w:p w:rsidR="00275A7A" w:rsidRPr="00275A7A" w:rsidRDefault="00275A7A" w:rsidP="00275A7A">
      <w:pPr>
        <w:spacing w:before="180" w:after="0" w:line="240" w:lineRule="auto"/>
        <w:jc w:val="both"/>
        <w:rPr>
          <w:rFonts w:ascii="Verdana" w:eastAsia="Times New Roman" w:hAnsi="Verdana" w:cs="Times New Roman"/>
          <w:color w:val="000000"/>
          <w:sz w:val="18"/>
          <w:szCs w:val="18"/>
        </w:rPr>
      </w:pPr>
      <w:proofErr w:type="spellStart"/>
      <w:r w:rsidRPr="00275A7A">
        <w:rPr>
          <w:rFonts w:ascii="Verdana" w:eastAsia="Times New Roman" w:hAnsi="Verdana" w:cs="Times New Roman"/>
          <w:i/>
          <w:iCs/>
          <w:color w:val="000000"/>
          <w:sz w:val="18"/>
          <w:szCs w:val="18"/>
        </w:rPr>
        <w:t>Brisley</w:t>
      </w:r>
      <w:proofErr w:type="spellEnd"/>
      <w:r w:rsidRPr="00275A7A">
        <w:rPr>
          <w:rFonts w:ascii="Verdana" w:eastAsia="Times New Roman" w:hAnsi="Verdana" w:cs="Times New Roman"/>
          <w:i/>
          <w:iCs/>
          <w:color w:val="000000"/>
          <w:sz w:val="18"/>
          <w:szCs w:val="18"/>
        </w:rPr>
        <w:t xml:space="preserve"> v </w:t>
      </w:r>
      <w:proofErr w:type="spellStart"/>
      <w:r w:rsidRPr="00275A7A">
        <w:rPr>
          <w:rFonts w:ascii="Verdana" w:eastAsia="Times New Roman" w:hAnsi="Verdana" w:cs="Times New Roman"/>
          <w:i/>
          <w:iCs/>
          <w:color w:val="000000"/>
          <w:sz w:val="18"/>
          <w:szCs w:val="18"/>
        </w:rPr>
        <w:t>Drotsky</w:t>
      </w:r>
      <w:proofErr w:type="spellEnd"/>
      <w:r w:rsidRPr="00275A7A">
        <w:rPr>
          <w:rFonts w:ascii="Verdana" w:eastAsia="Times New Roman" w:hAnsi="Verdana" w:cs="Times New Roman"/>
          <w:i/>
          <w:iCs/>
          <w:color w:val="000000"/>
          <w:sz w:val="18"/>
          <w:szCs w:val="18"/>
        </w:rPr>
        <w:t xml:space="preserve"> </w:t>
      </w:r>
      <w:r w:rsidRPr="00275A7A">
        <w:rPr>
          <w:rFonts w:ascii="Verdana" w:eastAsia="Times New Roman" w:hAnsi="Verdana" w:cs="Times New Roman"/>
          <w:color w:val="000000"/>
          <w:sz w:val="18"/>
          <w:szCs w:val="18"/>
        </w:rPr>
        <w:t xml:space="preserve">2002 (4) SA 1 (SCA) – </w:t>
      </w:r>
      <w:r w:rsidRPr="00275A7A">
        <w:rPr>
          <w:rFonts w:ascii="Verdana" w:eastAsia="Times New Roman" w:hAnsi="Verdana" w:cs="Times New Roman"/>
          <w:b/>
          <w:bCs/>
          <w:color w:val="000000"/>
          <w:sz w:val="18"/>
          <w:szCs w:val="18"/>
        </w:rPr>
        <w:t xml:space="preserve">Referred to </w:t>
      </w:r>
    </w:p>
    <w:p w:rsidR="00275A7A" w:rsidRPr="00275A7A" w:rsidRDefault="00275A7A" w:rsidP="00275A7A">
      <w:pPr>
        <w:spacing w:before="180" w:after="0" w:line="240" w:lineRule="auto"/>
        <w:jc w:val="both"/>
        <w:rPr>
          <w:rFonts w:ascii="Verdana" w:eastAsia="Times New Roman" w:hAnsi="Verdana" w:cs="Times New Roman"/>
          <w:color w:val="000000"/>
          <w:sz w:val="18"/>
          <w:szCs w:val="18"/>
        </w:rPr>
      </w:pPr>
      <w:proofErr w:type="spellStart"/>
      <w:r w:rsidRPr="00275A7A">
        <w:rPr>
          <w:rFonts w:ascii="Verdana" w:eastAsia="Times New Roman" w:hAnsi="Verdana" w:cs="Times New Roman"/>
          <w:i/>
          <w:iCs/>
          <w:color w:val="000000"/>
          <w:sz w:val="18"/>
          <w:szCs w:val="18"/>
        </w:rPr>
        <w:t>Maphango</w:t>
      </w:r>
      <w:proofErr w:type="spellEnd"/>
      <w:r w:rsidRPr="00275A7A">
        <w:rPr>
          <w:rFonts w:ascii="Verdana" w:eastAsia="Times New Roman" w:hAnsi="Verdana" w:cs="Times New Roman"/>
          <w:i/>
          <w:iCs/>
          <w:color w:val="000000"/>
          <w:sz w:val="18"/>
          <w:szCs w:val="18"/>
        </w:rPr>
        <w:t xml:space="preserve"> v </w:t>
      </w:r>
      <w:proofErr w:type="spellStart"/>
      <w:r w:rsidRPr="00275A7A">
        <w:rPr>
          <w:rFonts w:ascii="Verdana" w:eastAsia="Times New Roman" w:hAnsi="Verdana" w:cs="Times New Roman"/>
          <w:i/>
          <w:iCs/>
          <w:color w:val="000000"/>
          <w:sz w:val="18"/>
          <w:szCs w:val="18"/>
        </w:rPr>
        <w:t>Aengus</w:t>
      </w:r>
      <w:proofErr w:type="spellEnd"/>
      <w:r w:rsidRPr="00275A7A">
        <w:rPr>
          <w:rFonts w:ascii="Verdana" w:eastAsia="Times New Roman" w:hAnsi="Verdana" w:cs="Times New Roman"/>
          <w:i/>
          <w:iCs/>
          <w:color w:val="000000"/>
          <w:sz w:val="18"/>
          <w:szCs w:val="18"/>
        </w:rPr>
        <w:t xml:space="preserve"> Lifestyle Properties </w:t>
      </w:r>
      <w:r w:rsidRPr="00275A7A">
        <w:rPr>
          <w:rFonts w:ascii="Verdana" w:eastAsia="Times New Roman" w:hAnsi="Verdana" w:cs="Times New Roman"/>
          <w:color w:val="000000"/>
          <w:sz w:val="18"/>
          <w:szCs w:val="18"/>
        </w:rPr>
        <w:t xml:space="preserve">2011 (5) SA 19 (SCA) – </w:t>
      </w:r>
      <w:r w:rsidRPr="00275A7A">
        <w:rPr>
          <w:rFonts w:ascii="Verdana" w:eastAsia="Times New Roman" w:hAnsi="Verdana" w:cs="Times New Roman"/>
          <w:b/>
          <w:bCs/>
          <w:color w:val="000000"/>
          <w:sz w:val="18"/>
          <w:szCs w:val="18"/>
        </w:rPr>
        <w:t xml:space="preserve">Referred to </w:t>
      </w:r>
    </w:p>
    <w:p w:rsidR="00275A7A" w:rsidRPr="00275A7A" w:rsidRDefault="00275A7A" w:rsidP="00275A7A">
      <w:pPr>
        <w:spacing w:before="180" w:after="0" w:line="240" w:lineRule="auto"/>
        <w:jc w:val="both"/>
        <w:rPr>
          <w:rFonts w:ascii="Verdana" w:eastAsia="Times New Roman" w:hAnsi="Verdana" w:cs="Times New Roman"/>
          <w:color w:val="000000"/>
          <w:sz w:val="18"/>
          <w:szCs w:val="18"/>
        </w:rPr>
      </w:pPr>
      <w:proofErr w:type="spellStart"/>
      <w:r w:rsidRPr="00275A7A">
        <w:rPr>
          <w:rFonts w:ascii="Verdana" w:eastAsia="Times New Roman" w:hAnsi="Verdana" w:cs="Times New Roman"/>
          <w:i/>
          <w:iCs/>
          <w:color w:val="000000"/>
          <w:sz w:val="18"/>
          <w:szCs w:val="18"/>
        </w:rPr>
        <w:lastRenderedPageBreak/>
        <w:t>Preller</w:t>
      </w:r>
      <w:proofErr w:type="spellEnd"/>
      <w:r w:rsidRPr="00275A7A">
        <w:rPr>
          <w:rFonts w:ascii="Verdana" w:eastAsia="Times New Roman" w:hAnsi="Verdana" w:cs="Times New Roman"/>
          <w:i/>
          <w:iCs/>
          <w:color w:val="000000"/>
          <w:sz w:val="18"/>
          <w:szCs w:val="18"/>
        </w:rPr>
        <w:t xml:space="preserve"> v </w:t>
      </w:r>
      <w:proofErr w:type="spellStart"/>
      <w:r w:rsidRPr="00275A7A">
        <w:rPr>
          <w:rFonts w:ascii="Verdana" w:eastAsia="Times New Roman" w:hAnsi="Verdana" w:cs="Times New Roman"/>
          <w:i/>
          <w:iCs/>
          <w:color w:val="000000"/>
          <w:sz w:val="18"/>
          <w:szCs w:val="18"/>
        </w:rPr>
        <w:t>Jordaan</w:t>
      </w:r>
      <w:proofErr w:type="spellEnd"/>
      <w:r w:rsidRPr="00275A7A">
        <w:rPr>
          <w:rFonts w:ascii="Verdana" w:eastAsia="Times New Roman" w:hAnsi="Verdana" w:cs="Times New Roman"/>
          <w:i/>
          <w:iCs/>
          <w:color w:val="000000"/>
          <w:sz w:val="18"/>
          <w:szCs w:val="18"/>
        </w:rPr>
        <w:t xml:space="preserve"> </w:t>
      </w:r>
      <w:r w:rsidRPr="00275A7A">
        <w:rPr>
          <w:rFonts w:ascii="Verdana" w:eastAsia="Times New Roman" w:hAnsi="Verdana" w:cs="Times New Roman"/>
          <w:color w:val="000000"/>
          <w:sz w:val="18"/>
          <w:szCs w:val="18"/>
        </w:rPr>
        <w:t xml:space="preserve">1956 (1) SA 483 (A) – </w:t>
      </w:r>
      <w:r w:rsidRPr="00275A7A">
        <w:rPr>
          <w:rFonts w:ascii="Verdana" w:eastAsia="Times New Roman" w:hAnsi="Verdana" w:cs="Times New Roman"/>
          <w:b/>
          <w:bCs/>
          <w:color w:val="000000"/>
          <w:sz w:val="18"/>
          <w:szCs w:val="18"/>
        </w:rPr>
        <w:t xml:space="preserve">Referred to </w:t>
      </w:r>
    </w:p>
    <w:p w:rsidR="00275A7A" w:rsidRPr="00275A7A" w:rsidRDefault="00275A7A" w:rsidP="00275A7A">
      <w:pPr>
        <w:spacing w:before="240" w:after="0" w:line="240" w:lineRule="auto"/>
        <w:jc w:val="both"/>
        <w:rPr>
          <w:rFonts w:ascii="Verdana" w:eastAsia="Times New Roman" w:hAnsi="Verdana" w:cs="Times New Roman"/>
          <w:b/>
          <w:bCs/>
          <w:color w:val="000000"/>
          <w:sz w:val="18"/>
          <w:szCs w:val="18"/>
        </w:rPr>
      </w:pPr>
      <w:r w:rsidRPr="00275A7A">
        <w:rPr>
          <w:rFonts w:ascii="Verdana" w:eastAsia="Times New Roman" w:hAnsi="Verdana" w:cs="Times New Roman"/>
          <w:b/>
          <w:bCs/>
          <w:color w:val="000000"/>
          <w:sz w:val="18"/>
          <w:szCs w:val="18"/>
        </w:rPr>
        <w:t>Mini Summary</w:t>
      </w:r>
    </w:p>
    <w:p w:rsidR="00275A7A" w:rsidRPr="00275A7A" w:rsidRDefault="00275A7A" w:rsidP="00275A7A">
      <w:pPr>
        <w:spacing w:before="180" w:after="0" w:line="240" w:lineRule="auto"/>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The central issue raised in the present appeal was whether the purported variation of the trust deed pertaining to a family trust, pursuant to an agreement between the founder and the trustees of the trust, was legally binding.</w:t>
      </w:r>
    </w:p>
    <w:p w:rsidR="00275A7A" w:rsidRPr="00275A7A" w:rsidRDefault="00275A7A" w:rsidP="00275A7A">
      <w:pPr>
        <w:spacing w:before="180" w:after="0" w:line="240" w:lineRule="auto"/>
        <w:jc w:val="both"/>
        <w:rPr>
          <w:rFonts w:ascii="Verdana" w:eastAsia="Times New Roman" w:hAnsi="Verdana" w:cs="Times New Roman"/>
          <w:color w:val="000000"/>
          <w:sz w:val="18"/>
          <w:szCs w:val="18"/>
        </w:rPr>
      </w:pPr>
      <w:proofErr w:type="gramStart"/>
      <w:r w:rsidRPr="00275A7A">
        <w:rPr>
          <w:rFonts w:ascii="Verdana" w:eastAsia="Times New Roman" w:hAnsi="Verdana" w:cs="Times New Roman"/>
          <w:color w:val="000000"/>
          <w:sz w:val="18"/>
          <w:szCs w:val="18"/>
        </w:rPr>
        <w:t>The appellants, who contended that the variation was invalid and of no force, applied to the high court for an order to that effect.</w:t>
      </w:r>
      <w:proofErr w:type="gramEnd"/>
      <w:r w:rsidRPr="00275A7A">
        <w:rPr>
          <w:rFonts w:ascii="Verdana" w:eastAsia="Times New Roman" w:hAnsi="Verdana" w:cs="Times New Roman"/>
          <w:color w:val="000000"/>
          <w:sz w:val="18"/>
          <w:szCs w:val="18"/>
        </w:rPr>
        <w:t xml:space="preserve"> The high court upheld the appellants’ contention that the variation of the trust deed was invalid and without force. While that finding would ordinarily have resulted in the implementation of the trust deed in its original, </w:t>
      </w:r>
      <w:proofErr w:type="spellStart"/>
      <w:r w:rsidRPr="00275A7A">
        <w:rPr>
          <w:rFonts w:ascii="Verdana" w:eastAsia="Times New Roman" w:hAnsi="Verdana" w:cs="Times New Roman"/>
          <w:color w:val="000000"/>
          <w:sz w:val="18"/>
          <w:szCs w:val="18"/>
        </w:rPr>
        <w:t>unamended</w:t>
      </w:r>
      <w:proofErr w:type="spellEnd"/>
      <w:r w:rsidRPr="00275A7A">
        <w:rPr>
          <w:rFonts w:ascii="Verdana" w:eastAsia="Times New Roman" w:hAnsi="Verdana" w:cs="Times New Roman"/>
          <w:color w:val="000000"/>
          <w:sz w:val="18"/>
          <w:szCs w:val="18"/>
        </w:rPr>
        <w:t xml:space="preserve"> form, the Court found such result in the circumstances, unpalatable, contrary to public policy and constitutionally unsound. It therefore granted an order which effectively awarded one-fifth of the trust assets to each of the two appellants as their exclusive property, while the other potential beneficiaries retained their rights in terms of the amended trust deed in respect of the remaining three-fifths of the trust assets. </w:t>
      </w:r>
      <w:proofErr w:type="gramStart"/>
      <w:r w:rsidRPr="00275A7A">
        <w:rPr>
          <w:rFonts w:ascii="Verdana" w:eastAsia="Times New Roman" w:hAnsi="Verdana" w:cs="Times New Roman"/>
          <w:color w:val="000000"/>
          <w:sz w:val="18"/>
          <w:szCs w:val="18"/>
        </w:rPr>
        <w:t>None of the parties being satisfied with that, there was an appeal and a cross-appeal.</w:t>
      </w:r>
      <w:proofErr w:type="gramEnd"/>
    </w:p>
    <w:p w:rsidR="00275A7A" w:rsidRPr="00275A7A" w:rsidRDefault="00275A7A" w:rsidP="00275A7A">
      <w:pPr>
        <w:spacing w:before="180" w:after="0" w:line="240" w:lineRule="auto"/>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 xml:space="preserve">The background facts were as follows. The trust was originally created by means of a trust deed which was </w:t>
      </w:r>
      <w:proofErr w:type="spellStart"/>
      <w:r w:rsidRPr="00275A7A">
        <w:rPr>
          <w:rFonts w:ascii="Verdana" w:eastAsia="Times New Roman" w:hAnsi="Verdana" w:cs="Times New Roman"/>
          <w:color w:val="000000"/>
          <w:sz w:val="18"/>
          <w:szCs w:val="18"/>
        </w:rPr>
        <w:t>notarially</w:t>
      </w:r>
      <w:proofErr w:type="spellEnd"/>
      <w:r w:rsidRPr="00275A7A">
        <w:rPr>
          <w:rFonts w:ascii="Verdana" w:eastAsia="Times New Roman" w:hAnsi="Verdana" w:cs="Times New Roman"/>
          <w:color w:val="000000"/>
          <w:sz w:val="18"/>
          <w:szCs w:val="18"/>
        </w:rPr>
        <w:t xml:space="preserve"> executed on 1 June 1999. The appellants’ father (“the deceased”) was one of the original trustees, as was the second respondent, who was his attorney throughout. In terms of the original trust deed, the appellants were nominated as the capital beneficiaries of the trust. The trust deed provided that the income beneficiaries of the trust were to be determined by the trustees in their discretion from a class consisting of the two capital beneficiaries or those related to them in consanguinity or affinity. In 2003, the deceased was divorced from the appellants’ mother. After the divorce, the deceased married the first respondent, who then became the third trustee of the trust. The impugned variation agreement was entered into on 21 February 2006. In terms thereof, the appellants were no longer the only capital beneficiaries, and were reduced to members of a class of potential capital beneficiaries. Secondly, the trustees were afforded the absolute discretion to select the actual capital beneficiaries from that class, with nothing preventing them from excluding the appellants altogether as beneficiaries of the trust.</w:t>
      </w:r>
    </w:p>
    <w:p w:rsidR="00275A7A" w:rsidRPr="00275A7A" w:rsidRDefault="00275A7A" w:rsidP="00275A7A">
      <w:pPr>
        <w:spacing w:before="180" w:after="0" w:line="240" w:lineRule="auto"/>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 xml:space="preserve">While accepting in the court </w:t>
      </w:r>
      <w:r w:rsidRPr="00275A7A">
        <w:rPr>
          <w:rFonts w:ascii="Verdana" w:eastAsia="Times New Roman" w:hAnsi="Verdana" w:cs="Times New Roman"/>
          <w:i/>
          <w:iCs/>
          <w:color w:val="000000"/>
          <w:sz w:val="18"/>
          <w:szCs w:val="18"/>
        </w:rPr>
        <w:t>a quo</w:t>
      </w:r>
      <w:r w:rsidRPr="00275A7A">
        <w:rPr>
          <w:rFonts w:ascii="Verdana" w:eastAsia="Times New Roman" w:hAnsi="Verdana" w:cs="Times New Roman"/>
          <w:color w:val="000000"/>
          <w:sz w:val="18"/>
          <w:szCs w:val="18"/>
        </w:rPr>
        <w:t xml:space="preserve">, the correctness of the legal proposition that the variation of a trust deed did not require the consent of beneficiaries who had not yet accepted the benefits conferred upon them, the appellants contended that the benefits conferred upon them by the original trust deed had been accepted on their behalf by the deceased as their father and natural guardian. They further alleged that the deceased (as founder) and the other trustees had acknowledged, at least by implication, that those benefits had previously been accepted on their behalf, by requiring their consent to the alienation of a trust asset at a meeting of 18 August 2003.those arguments were upheld by the court </w:t>
      </w:r>
      <w:r w:rsidRPr="00275A7A">
        <w:rPr>
          <w:rFonts w:ascii="Verdana" w:eastAsia="Times New Roman" w:hAnsi="Verdana" w:cs="Times New Roman"/>
          <w:i/>
          <w:iCs/>
          <w:color w:val="000000"/>
          <w:sz w:val="18"/>
          <w:szCs w:val="18"/>
        </w:rPr>
        <w:t>a quo</w:t>
      </w:r>
      <w:r w:rsidRPr="00275A7A">
        <w:rPr>
          <w:rFonts w:ascii="Verdana" w:eastAsia="Times New Roman" w:hAnsi="Verdana" w:cs="Times New Roman"/>
          <w:color w:val="000000"/>
          <w:sz w:val="18"/>
          <w:szCs w:val="18"/>
        </w:rPr>
        <w:t>. The court also agreed with the appellants’ contention that, because of the acceptance of the trust benefits on their behalf, a variation of the trust deed outside the ambit of clause 21, could only be brought about with their consent. Consequently the court held that, in the absence of the appellants’ consent, the purported amendment to the trust deed in terms of the agreement between the deceased and the trustees on 21 February 2006, was of no legal force and effect.</w:t>
      </w:r>
    </w:p>
    <w:p w:rsidR="00275A7A" w:rsidRPr="00275A7A" w:rsidRDefault="00275A7A" w:rsidP="00275A7A">
      <w:pPr>
        <w:spacing w:before="180" w:after="0" w:line="240" w:lineRule="auto"/>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 xml:space="preserve">The appellants’ contention on appeal was that the court </w:t>
      </w:r>
      <w:r w:rsidRPr="00275A7A">
        <w:rPr>
          <w:rFonts w:ascii="Verdana" w:eastAsia="Times New Roman" w:hAnsi="Verdana" w:cs="Times New Roman"/>
          <w:i/>
          <w:iCs/>
          <w:color w:val="000000"/>
          <w:sz w:val="18"/>
          <w:szCs w:val="18"/>
        </w:rPr>
        <w:t xml:space="preserve">a quo </w:t>
      </w:r>
      <w:r w:rsidRPr="00275A7A">
        <w:rPr>
          <w:rFonts w:ascii="Verdana" w:eastAsia="Times New Roman" w:hAnsi="Verdana" w:cs="Times New Roman"/>
          <w:color w:val="000000"/>
          <w:sz w:val="18"/>
          <w:szCs w:val="18"/>
        </w:rPr>
        <w:t xml:space="preserve">rightly concluded that the agreement to vary the trust deed was invalid and without any legal effect. But, following upon that conclusion, so the appellants contended, the court </w:t>
      </w:r>
      <w:r w:rsidRPr="00275A7A">
        <w:rPr>
          <w:rFonts w:ascii="Verdana" w:eastAsia="Times New Roman" w:hAnsi="Verdana" w:cs="Times New Roman"/>
          <w:i/>
          <w:iCs/>
          <w:color w:val="000000"/>
          <w:sz w:val="18"/>
          <w:szCs w:val="18"/>
        </w:rPr>
        <w:t xml:space="preserve">a quo </w:t>
      </w:r>
      <w:r w:rsidRPr="00275A7A">
        <w:rPr>
          <w:rFonts w:ascii="Verdana" w:eastAsia="Times New Roman" w:hAnsi="Verdana" w:cs="Times New Roman"/>
          <w:color w:val="000000"/>
          <w:sz w:val="18"/>
          <w:szCs w:val="18"/>
        </w:rPr>
        <w:t xml:space="preserve">had no option but to grant a </w:t>
      </w:r>
      <w:proofErr w:type="spellStart"/>
      <w:r w:rsidRPr="00275A7A">
        <w:rPr>
          <w:rFonts w:ascii="Verdana" w:eastAsia="Times New Roman" w:hAnsi="Verdana" w:cs="Times New Roman"/>
          <w:color w:val="000000"/>
          <w:sz w:val="18"/>
          <w:szCs w:val="18"/>
        </w:rPr>
        <w:t>declarator</w:t>
      </w:r>
      <w:proofErr w:type="spellEnd"/>
      <w:r w:rsidRPr="00275A7A">
        <w:rPr>
          <w:rFonts w:ascii="Verdana" w:eastAsia="Times New Roman" w:hAnsi="Verdana" w:cs="Times New Roman"/>
          <w:color w:val="000000"/>
          <w:sz w:val="18"/>
          <w:szCs w:val="18"/>
        </w:rPr>
        <w:t xml:space="preserve"> confirming the invalidity of the variation agreement, which was the order that they sought. The cross-appeal, on the other hand, was essentially based on the contention by the respondents that the court </w:t>
      </w:r>
      <w:r w:rsidRPr="00275A7A">
        <w:rPr>
          <w:rFonts w:ascii="Verdana" w:eastAsia="Times New Roman" w:hAnsi="Verdana" w:cs="Times New Roman"/>
          <w:i/>
          <w:iCs/>
          <w:color w:val="000000"/>
          <w:sz w:val="18"/>
          <w:szCs w:val="18"/>
        </w:rPr>
        <w:t xml:space="preserve">a quo </w:t>
      </w:r>
      <w:r w:rsidRPr="00275A7A">
        <w:rPr>
          <w:rFonts w:ascii="Verdana" w:eastAsia="Times New Roman" w:hAnsi="Verdana" w:cs="Times New Roman"/>
          <w:color w:val="000000"/>
          <w:sz w:val="18"/>
          <w:szCs w:val="18"/>
        </w:rPr>
        <w:t>had erred in not finding that the agreement to vary the trust deed was valid and enforceable.</w:t>
      </w:r>
    </w:p>
    <w:p w:rsidR="00275A7A" w:rsidRPr="00275A7A" w:rsidRDefault="00275A7A" w:rsidP="00275A7A">
      <w:pPr>
        <w:spacing w:before="180" w:after="0" w:line="240" w:lineRule="auto"/>
        <w:jc w:val="both"/>
        <w:rPr>
          <w:rFonts w:ascii="Verdana" w:eastAsia="Times New Roman" w:hAnsi="Verdana" w:cs="Times New Roman"/>
          <w:color w:val="000000"/>
          <w:sz w:val="18"/>
          <w:szCs w:val="18"/>
        </w:rPr>
      </w:pPr>
      <w:r w:rsidRPr="00275A7A">
        <w:rPr>
          <w:rFonts w:ascii="Verdana" w:eastAsia="Times New Roman" w:hAnsi="Verdana" w:cs="Times New Roman"/>
          <w:b/>
          <w:bCs/>
          <w:color w:val="000000"/>
          <w:sz w:val="18"/>
          <w:szCs w:val="18"/>
        </w:rPr>
        <w:t xml:space="preserve">Held </w:t>
      </w:r>
      <w:r w:rsidRPr="00275A7A">
        <w:rPr>
          <w:rFonts w:ascii="Verdana" w:eastAsia="Times New Roman" w:hAnsi="Verdana" w:cs="Times New Roman"/>
          <w:color w:val="000000"/>
          <w:sz w:val="18"/>
          <w:szCs w:val="18"/>
        </w:rPr>
        <w:t>that on appeal, there were two questions for determination. They were whether the purported variation of the trust deed was invalid, and if so, what the consequences of that finding should be.</w:t>
      </w:r>
    </w:p>
    <w:p w:rsidR="00275A7A" w:rsidRPr="00275A7A" w:rsidRDefault="00275A7A" w:rsidP="00275A7A">
      <w:pPr>
        <w:spacing w:before="180" w:after="0" w:line="240" w:lineRule="auto"/>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 xml:space="preserve">The court began with the cross-appeal as if the variation agreement was found to be valid and enforceable, that would be the end of the matter. A trust deed executed by a founder and trustees of a trust for the benefit of others is akin to a contract for the benefit of a third party, also known as a </w:t>
      </w:r>
      <w:proofErr w:type="spellStart"/>
      <w:r w:rsidRPr="00275A7A">
        <w:rPr>
          <w:rFonts w:ascii="Verdana" w:eastAsia="Times New Roman" w:hAnsi="Verdana" w:cs="Times New Roman"/>
          <w:i/>
          <w:iCs/>
          <w:color w:val="000000"/>
          <w:sz w:val="18"/>
          <w:szCs w:val="18"/>
        </w:rPr>
        <w:t>stipulatio</w:t>
      </w:r>
      <w:proofErr w:type="spellEnd"/>
      <w:r w:rsidRPr="00275A7A">
        <w:rPr>
          <w:rFonts w:ascii="Verdana" w:eastAsia="Times New Roman" w:hAnsi="Verdana" w:cs="Times New Roman"/>
          <w:i/>
          <w:iCs/>
          <w:color w:val="000000"/>
          <w:sz w:val="18"/>
          <w:szCs w:val="18"/>
        </w:rPr>
        <w:t xml:space="preserve"> </w:t>
      </w:r>
      <w:proofErr w:type="spellStart"/>
      <w:r w:rsidRPr="00275A7A">
        <w:rPr>
          <w:rFonts w:ascii="Verdana" w:eastAsia="Times New Roman" w:hAnsi="Verdana" w:cs="Times New Roman"/>
          <w:i/>
          <w:iCs/>
          <w:color w:val="000000"/>
          <w:sz w:val="18"/>
          <w:szCs w:val="18"/>
        </w:rPr>
        <w:t>alteri</w:t>
      </w:r>
      <w:proofErr w:type="spellEnd"/>
      <w:r w:rsidRPr="00275A7A">
        <w:rPr>
          <w:rFonts w:ascii="Verdana" w:eastAsia="Times New Roman" w:hAnsi="Verdana" w:cs="Times New Roman"/>
          <w:color w:val="000000"/>
          <w:sz w:val="18"/>
          <w:szCs w:val="18"/>
        </w:rPr>
        <w:t xml:space="preserve">. In consequence, the founder and trustee can vary or even cancel the agreement </w:t>
      </w:r>
      <w:r w:rsidRPr="00275A7A">
        <w:rPr>
          <w:rFonts w:ascii="Verdana" w:eastAsia="Times New Roman" w:hAnsi="Verdana" w:cs="Times New Roman"/>
          <w:color w:val="000000"/>
          <w:sz w:val="18"/>
          <w:szCs w:val="18"/>
        </w:rPr>
        <w:lastRenderedPageBreak/>
        <w:t>between them before the third party has accepted the benefits conferred on him by the trust deed. But once the beneficiary has accepted those benefits, the trust deed can only be varied with his consent. Relying on those principles, the appellants’ main argument was that the benefits conferred on them in the original trust deed were accepted by the deceased on their behalf as reflected in the preamble of the trust deed itself. Having regard to the statement in the preamble, the court could give it no meaning than that the deceased intended to accept the benefits on behalf of the appellants.</w:t>
      </w:r>
    </w:p>
    <w:p w:rsidR="00275A7A" w:rsidRPr="00275A7A" w:rsidRDefault="00275A7A" w:rsidP="00275A7A">
      <w:pPr>
        <w:spacing w:before="180" w:after="0" w:line="240" w:lineRule="auto"/>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 xml:space="preserve">As mentioned above, the high court’s finding that the variation to the trust deed was invalid did not lead in this case to the provisions of the original trust deed being applied. The court found itself </w:t>
      </w:r>
      <w:proofErr w:type="spellStart"/>
      <w:r w:rsidRPr="00275A7A">
        <w:rPr>
          <w:rFonts w:ascii="Verdana" w:eastAsia="Times New Roman" w:hAnsi="Verdana" w:cs="Times New Roman"/>
          <w:color w:val="000000"/>
          <w:sz w:val="18"/>
          <w:szCs w:val="18"/>
        </w:rPr>
        <w:t>authorised</w:t>
      </w:r>
      <w:proofErr w:type="spellEnd"/>
      <w:r w:rsidRPr="00275A7A">
        <w:rPr>
          <w:rFonts w:ascii="Verdana" w:eastAsia="Times New Roman" w:hAnsi="Verdana" w:cs="Times New Roman"/>
          <w:color w:val="000000"/>
          <w:sz w:val="18"/>
          <w:szCs w:val="18"/>
        </w:rPr>
        <w:t xml:space="preserve"> to deviate from the usual outcome by granting an order which it regarded as equitable and fair. As the first basis for that authority the court </w:t>
      </w:r>
      <w:r w:rsidRPr="00275A7A">
        <w:rPr>
          <w:rFonts w:ascii="Verdana" w:eastAsia="Times New Roman" w:hAnsi="Verdana" w:cs="Times New Roman"/>
          <w:i/>
          <w:iCs/>
          <w:color w:val="000000"/>
          <w:sz w:val="18"/>
          <w:szCs w:val="18"/>
        </w:rPr>
        <w:t xml:space="preserve">a quo </w:t>
      </w:r>
      <w:r w:rsidRPr="00275A7A">
        <w:rPr>
          <w:rFonts w:ascii="Verdana" w:eastAsia="Times New Roman" w:hAnsi="Verdana" w:cs="Times New Roman"/>
          <w:color w:val="000000"/>
          <w:sz w:val="18"/>
          <w:szCs w:val="18"/>
        </w:rPr>
        <w:t xml:space="preserve">relied on the provisions of section 13 of the Trust Property Control Act 57 of 1988. However, the present court pointed out that section 13 was in fact not applicable in the present matter. The second basis relied on by the court </w:t>
      </w:r>
      <w:r w:rsidRPr="00275A7A">
        <w:rPr>
          <w:rFonts w:ascii="Verdana" w:eastAsia="Times New Roman" w:hAnsi="Verdana" w:cs="Times New Roman"/>
          <w:i/>
          <w:iCs/>
          <w:color w:val="000000"/>
          <w:sz w:val="18"/>
          <w:szCs w:val="18"/>
        </w:rPr>
        <w:t xml:space="preserve">a quo </w:t>
      </w:r>
      <w:r w:rsidRPr="00275A7A">
        <w:rPr>
          <w:rFonts w:ascii="Verdana" w:eastAsia="Times New Roman" w:hAnsi="Verdana" w:cs="Times New Roman"/>
          <w:color w:val="000000"/>
          <w:sz w:val="18"/>
          <w:szCs w:val="18"/>
        </w:rPr>
        <w:t xml:space="preserve">for its authority to deviate from common law principles was the majority judgment of the Constitutional Court by </w:t>
      </w:r>
      <w:proofErr w:type="spellStart"/>
      <w:r w:rsidRPr="00275A7A">
        <w:rPr>
          <w:rFonts w:ascii="Verdana" w:eastAsia="Times New Roman" w:hAnsi="Verdana" w:cs="Times New Roman"/>
          <w:color w:val="000000"/>
          <w:sz w:val="18"/>
          <w:szCs w:val="18"/>
        </w:rPr>
        <w:t>Ngcobo</w:t>
      </w:r>
      <w:proofErr w:type="spellEnd"/>
      <w:r w:rsidRPr="00275A7A">
        <w:rPr>
          <w:rFonts w:ascii="Verdana" w:eastAsia="Times New Roman" w:hAnsi="Verdana" w:cs="Times New Roman"/>
          <w:color w:val="000000"/>
          <w:sz w:val="18"/>
          <w:szCs w:val="18"/>
        </w:rPr>
        <w:t xml:space="preserve"> J in </w:t>
      </w:r>
      <w:proofErr w:type="spellStart"/>
      <w:r w:rsidRPr="00275A7A">
        <w:rPr>
          <w:rFonts w:ascii="Verdana" w:eastAsia="Times New Roman" w:hAnsi="Verdana" w:cs="Times New Roman"/>
          <w:i/>
          <w:iCs/>
          <w:color w:val="000000"/>
          <w:sz w:val="18"/>
          <w:szCs w:val="18"/>
        </w:rPr>
        <w:t>Barkhuizen</w:t>
      </w:r>
      <w:proofErr w:type="spellEnd"/>
      <w:r w:rsidRPr="00275A7A">
        <w:rPr>
          <w:rFonts w:ascii="Verdana" w:eastAsia="Times New Roman" w:hAnsi="Verdana" w:cs="Times New Roman"/>
          <w:i/>
          <w:iCs/>
          <w:color w:val="000000"/>
          <w:sz w:val="18"/>
          <w:szCs w:val="18"/>
        </w:rPr>
        <w:t xml:space="preserve"> v Napier </w:t>
      </w:r>
      <w:r w:rsidRPr="00275A7A">
        <w:rPr>
          <w:rFonts w:ascii="Verdana" w:eastAsia="Times New Roman" w:hAnsi="Verdana" w:cs="Times New Roman"/>
          <w:color w:val="000000"/>
          <w:sz w:val="18"/>
          <w:szCs w:val="18"/>
        </w:rPr>
        <w:t xml:space="preserve">2007 (5) SA 323 (CC). The court found the judgment to provide authority for two propositions. The first was that under our new constitutional dispensation it is part of our contract law that, as a matter of public policy, our courts can refuse to give effect to the implementation of contractual provisions which it regards as unreasonable and unfair; and the second was that the same principle should be applied in other spheres of private law. On appeal, it was held that the court a quo’s approach was fundamentally unsound as the two propositions from which it departed were not supported by the judgment of </w:t>
      </w:r>
      <w:proofErr w:type="spellStart"/>
      <w:r w:rsidRPr="00275A7A">
        <w:rPr>
          <w:rFonts w:ascii="Verdana" w:eastAsia="Times New Roman" w:hAnsi="Verdana" w:cs="Times New Roman"/>
          <w:color w:val="000000"/>
          <w:sz w:val="18"/>
          <w:szCs w:val="18"/>
        </w:rPr>
        <w:t>Ngcobo</w:t>
      </w:r>
      <w:proofErr w:type="spellEnd"/>
      <w:r w:rsidRPr="00275A7A">
        <w:rPr>
          <w:rFonts w:ascii="Verdana" w:eastAsia="Times New Roman" w:hAnsi="Verdana" w:cs="Times New Roman"/>
          <w:color w:val="000000"/>
          <w:sz w:val="18"/>
          <w:szCs w:val="18"/>
        </w:rPr>
        <w:t xml:space="preserve"> J. Nor did the first proposition reflect the principles of our law of contract as they stand. Reasonableness and fairness are not freestanding requirements for the exercise of a contractual right.</w:t>
      </w:r>
    </w:p>
    <w:p w:rsidR="00275A7A" w:rsidRPr="00275A7A" w:rsidRDefault="00275A7A" w:rsidP="00275A7A">
      <w:pPr>
        <w:spacing w:before="180" w:after="0" w:line="240" w:lineRule="auto"/>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 xml:space="preserve">The court </w:t>
      </w:r>
      <w:r w:rsidRPr="00275A7A">
        <w:rPr>
          <w:rFonts w:ascii="Verdana" w:eastAsia="Times New Roman" w:hAnsi="Verdana" w:cs="Times New Roman"/>
          <w:i/>
          <w:iCs/>
          <w:color w:val="000000"/>
          <w:sz w:val="18"/>
          <w:szCs w:val="18"/>
        </w:rPr>
        <w:t xml:space="preserve">a quo </w:t>
      </w:r>
      <w:r w:rsidRPr="00275A7A">
        <w:rPr>
          <w:rFonts w:ascii="Verdana" w:eastAsia="Times New Roman" w:hAnsi="Verdana" w:cs="Times New Roman"/>
          <w:color w:val="000000"/>
          <w:sz w:val="18"/>
          <w:szCs w:val="18"/>
        </w:rPr>
        <w:t>was obliged to follow the tenets of common law. Its decision to do otherwise offended the principle of legality.</w:t>
      </w:r>
    </w:p>
    <w:p w:rsidR="00275A7A" w:rsidRPr="00275A7A" w:rsidRDefault="00275A7A" w:rsidP="00275A7A">
      <w:pPr>
        <w:spacing w:before="180" w:after="0" w:line="240" w:lineRule="auto"/>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The appeal was upheld, and the purported variation of the trust deed was declared to be invalid and set aside.</w:t>
      </w:r>
    </w:p>
    <w:p w:rsidR="00275A7A" w:rsidRPr="00275A7A" w:rsidRDefault="00275A7A" w:rsidP="00275A7A">
      <w:pPr>
        <w:spacing w:before="360" w:after="0" w:line="240" w:lineRule="auto"/>
        <w:rPr>
          <w:rFonts w:ascii="Verdana" w:eastAsia="Times New Roman" w:hAnsi="Verdana" w:cs="Times New Roman"/>
          <w:b/>
          <w:bCs/>
          <w:color w:val="000000"/>
          <w:sz w:val="16"/>
          <w:szCs w:val="16"/>
        </w:rPr>
      </w:pPr>
      <w:r w:rsidRPr="00275A7A">
        <w:rPr>
          <w:rFonts w:ascii="Verdana" w:eastAsia="Times New Roman" w:hAnsi="Verdana" w:cs="Times New Roman"/>
          <w:b/>
          <w:bCs/>
          <w:color w:val="000000"/>
          <w:sz w:val="16"/>
          <w:szCs w:val="16"/>
        </w:rPr>
        <w:t>Page 2 of [2011] JOL 27892 (SCA)</w:t>
      </w:r>
    </w:p>
    <w:p w:rsidR="00275A7A" w:rsidRPr="00275A7A" w:rsidRDefault="00275A7A" w:rsidP="00275A7A">
      <w:pPr>
        <w:spacing w:before="240" w:after="0" w:line="240" w:lineRule="auto"/>
        <w:jc w:val="both"/>
        <w:rPr>
          <w:rFonts w:ascii="Verdana" w:eastAsia="Times New Roman" w:hAnsi="Verdana" w:cs="Times New Roman"/>
          <w:b/>
          <w:bCs/>
          <w:color w:val="000000"/>
          <w:sz w:val="18"/>
          <w:szCs w:val="18"/>
        </w:rPr>
      </w:pPr>
      <w:r w:rsidRPr="00275A7A">
        <w:rPr>
          <w:rFonts w:ascii="Verdana" w:eastAsia="Times New Roman" w:hAnsi="Verdana" w:cs="Times New Roman"/>
          <w:b/>
          <w:bCs/>
          <w:color w:val="000000"/>
          <w:sz w:val="18"/>
          <w:szCs w:val="18"/>
        </w:rPr>
        <w:t xml:space="preserve">BRAND JA:   </w:t>
      </w:r>
    </w:p>
    <w:p w:rsidR="00275A7A" w:rsidRPr="00275A7A" w:rsidRDefault="00275A7A" w:rsidP="00275A7A">
      <w:pPr>
        <w:spacing w:before="180" w:after="0" w:line="240" w:lineRule="auto"/>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[1</w:t>
      </w:r>
      <w:proofErr w:type="gramStart"/>
      <w:r w:rsidRPr="00275A7A">
        <w:rPr>
          <w:rFonts w:ascii="Verdana" w:eastAsia="Times New Roman" w:hAnsi="Verdana" w:cs="Times New Roman"/>
          <w:color w:val="000000"/>
          <w:sz w:val="18"/>
          <w:szCs w:val="18"/>
        </w:rPr>
        <w:t>]  This</w:t>
      </w:r>
      <w:proofErr w:type="gramEnd"/>
      <w:r w:rsidRPr="00275A7A">
        <w:rPr>
          <w:rFonts w:ascii="Verdana" w:eastAsia="Times New Roman" w:hAnsi="Verdana" w:cs="Times New Roman"/>
          <w:color w:val="000000"/>
          <w:sz w:val="18"/>
          <w:szCs w:val="18"/>
        </w:rPr>
        <w:t xml:space="preserve"> appeal is about a trust, originally called the </w:t>
      </w:r>
      <w:proofErr w:type="spellStart"/>
      <w:r w:rsidRPr="00275A7A">
        <w:rPr>
          <w:rFonts w:ascii="Verdana" w:eastAsia="Times New Roman" w:hAnsi="Verdana" w:cs="Times New Roman"/>
          <w:color w:val="000000"/>
          <w:sz w:val="18"/>
          <w:szCs w:val="18"/>
        </w:rPr>
        <w:t>Buffelshoek</w:t>
      </w:r>
      <w:proofErr w:type="spellEnd"/>
      <w:r w:rsidRPr="00275A7A">
        <w:rPr>
          <w:rFonts w:ascii="Verdana" w:eastAsia="Times New Roman" w:hAnsi="Verdana" w:cs="Times New Roman"/>
          <w:color w:val="000000"/>
          <w:sz w:val="18"/>
          <w:szCs w:val="18"/>
        </w:rPr>
        <w:t xml:space="preserve"> </w:t>
      </w:r>
      <w:proofErr w:type="spellStart"/>
      <w:r w:rsidRPr="00275A7A">
        <w:rPr>
          <w:rFonts w:ascii="Verdana" w:eastAsia="Times New Roman" w:hAnsi="Verdana" w:cs="Times New Roman"/>
          <w:color w:val="000000"/>
          <w:sz w:val="18"/>
          <w:szCs w:val="18"/>
        </w:rPr>
        <w:t>Familie</w:t>
      </w:r>
      <w:proofErr w:type="spellEnd"/>
      <w:r w:rsidRPr="00275A7A">
        <w:rPr>
          <w:rFonts w:ascii="Verdana" w:eastAsia="Times New Roman" w:hAnsi="Verdana" w:cs="Times New Roman"/>
          <w:color w:val="000000"/>
          <w:sz w:val="18"/>
          <w:szCs w:val="18"/>
        </w:rPr>
        <w:t xml:space="preserve"> Trust and later renamed the VPJ Trust, in which all the appellants and the </w:t>
      </w:r>
    </w:p>
    <w:p w:rsidR="00275A7A" w:rsidRPr="00275A7A" w:rsidRDefault="00275A7A" w:rsidP="00275A7A">
      <w:pPr>
        <w:spacing w:before="360" w:after="0" w:line="240" w:lineRule="auto"/>
        <w:rPr>
          <w:rFonts w:ascii="Verdana" w:eastAsia="Times New Roman" w:hAnsi="Verdana" w:cs="Times New Roman"/>
          <w:b/>
          <w:bCs/>
          <w:color w:val="000000"/>
          <w:sz w:val="16"/>
          <w:szCs w:val="16"/>
        </w:rPr>
      </w:pPr>
      <w:r w:rsidRPr="00275A7A">
        <w:rPr>
          <w:rFonts w:ascii="Verdana" w:eastAsia="Times New Roman" w:hAnsi="Verdana" w:cs="Times New Roman"/>
          <w:b/>
          <w:bCs/>
          <w:color w:val="000000"/>
          <w:sz w:val="16"/>
          <w:szCs w:val="16"/>
        </w:rPr>
        <w:t>Page 3 of [2011] JOL 27892 (SCA)</w:t>
      </w:r>
    </w:p>
    <w:p w:rsidR="00275A7A" w:rsidRPr="00275A7A" w:rsidRDefault="00275A7A" w:rsidP="00275A7A">
      <w:pPr>
        <w:spacing w:before="180" w:after="0" w:line="240" w:lineRule="auto"/>
        <w:jc w:val="both"/>
        <w:rPr>
          <w:rFonts w:ascii="Verdana" w:eastAsia="Times New Roman" w:hAnsi="Verdana" w:cs="Times New Roman"/>
          <w:color w:val="000000"/>
          <w:sz w:val="18"/>
          <w:szCs w:val="18"/>
        </w:rPr>
      </w:pPr>
      <w:proofErr w:type="gramStart"/>
      <w:r w:rsidRPr="00275A7A">
        <w:rPr>
          <w:rFonts w:ascii="Verdana" w:eastAsia="Times New Roman" w:hAnsi="Verdana" w:cs="Times New Roman"/>
          <w:color w:val="000000"/>
          <w:sz w:val="18"/>
          <w:szCs w:val="18"/>
        </w:rPr>
        <w:t>respondents</w:t>
      </w:r>
      <w:proofErr w:type="gramEnd"/>
      <w:r w:rsidRPr="00275A7A">
        <w:rPr>
          <w:rFonts w:ascii="Verdana" w:eastAsia="Times New Roman" w:hAnsi="Verdana" w:cs="Times New Roman"/>
          <w:color w:val="000000"/>
          <w:sz w:val="18"/>
          <w:szCs w:val="18"/>
        </w:rPr>
        <w:t xml:space="preserve">, save for the sixth respondent, who is the Master of the High Court, have an interest of some kind or another. Since the master took no part in the proceedings, I shall exclude him from any further reference to "the respondents". The central issue raised by the appeal is whether the purported variation of the trust deed pertaining to the </w:t>
      </w:r>
      <w:proofErr w:type="spellStart"/>
      <w:r w:rsidRPr="00275A7A">
        <w:rPr>
          <w:rFonts w:ascii="Verdana" w:eastAsia="Times New Roman" w:hAnsi="Verdana" w:cs="Times New Roman"/>
          <w:color w:val="000000"/>
          <w:sz w:val="18"/>
          <w:szCs w:val="18"/>
        </w:rPr>
        <w:t>Buffelshoek</w:t>
      </w:r>
      <w:proofErr w:type="spellEnd"/>
      <w:r w:rsidRPr="00275A7A">
        <w:rPr>
          <w:rFonts w:ascii="Verdana" w:eastAsia="Times New Roman" w:hAnsi="Verdana" w:cs="Times New Roman"/>
          <w:color w:val="000000"/>
          <w:sz w:val="18"/>
          <w:szCs w:val="18"/>
        </w:rPr>
        <w:t xml:space="preserve"> </w:t>
      </w:r>
      <w:proofErr w:type="spellStart"/>
      <w:r w:rsidRPr="00275A7A">
        <w:rPr>
          <w:rFonts w:ascii="Verdana" w:eastAsia="Times New Roman" w:hAnsi="Verdana" w:cs="Times New Roman"/>
          <w:color w:val="000000"/>
          <w:sz w:val="18"/>
          <w:szCs w:val="18"/>
        </w:rPr>
        <w:t>Familie</w:t>
      </w:r>
      <w:proofErr w:type="spellEnd"/>
      <w:r w:rsidRPr="00275A7A">
        <w:rPr>
          <w:rFonts w:ascii="Verdana" w:eastAsia="Times New Roman" w:hAnsi="Verdana" w:cs="Times New Roman"/>
          <w:color w:val="000000"/>
          <w:sz w:val="18"/>
          <w:szCs w:val="18"/>
        </w:rPr>
        <w:t xml:space="preserve"> Trust, pursuant to an agreement between the founder and the trustees of the trust, is legally binding. While the appellants contended that the variation was invalid and of no force, the respondents took up the contrary position that the variation agreement was valid and enforceable.</w:t>
      </w:r>
    </w:p>
    <w:p w:rsidR="00275A7A" w:rsidRPr="00275A7A" w:rsidRDefault="00275A7A" w:rsidP="00275A7A">
      <w:pPr>
        <w:spacing w:before="180" w:after="0" w:line="240" w:lineRule="auto"/>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[2</w:t>
      </w:r>
      <w:proofErr w:type="gramStart"/>
      <w:r w:rsidRPr="00275A7A">
        <w:rPr>
          <w:rFonts w:ascii="Verdana" w:eastAsia="Times New Roman" w:hAnsi="Verdana" w:cs="Times New Roman"/>
          <w:color w:val="000000"/>
          <w:sz w:val="18"/>
          <w:szCs w:val="18"/>
        </w:rPr>
        <w:t>]  Eventually</w:t>
      </w:r>
      <w:proofErr w:type="gramEnd"/>
      <w:r w:rsidRPr="00275A7A">
        <w:rPr>
          <w:rFonts w:ascii="Verdana" w:eastAsia="Times New Roman" w:hAnsi="Verdana" w:cs="Times New Roman"/>
          <w:color w:val="000000"/>
          <w:sz w:val="18"/>
          <w:szCs w:val="18"/>
        </w:rPr>
        <w:t xml:space="preserve"> the dispute gave rise to an application by the appellants as applicants in the North Gauteng High Court (Pretoria) for an order, in the main, confirming their position that the variation of the trust deed was invalid. When the matter came before Bertelsmann J, he agreed, despite the counter-arguments by the respondents, with the appellants' contention that the variation was invalid and without force. Normally this finding would have resulted in the implementation of the trust deed in its original, </w:t>
      </w:r>
      <w:proofErr w:type="spellStart"/>
      <w:r w:rsidRPr="00275A7A">
        <w:rPr>
          <w:rFonts w:ascii="Verdana" w:eastAsia="Times New Roman" w:hAnsi="Verdana" w:cs="Times New Roman"/>
          <w:color w:val="000000"/>
          <w:sz w:val="18"/>
          <w:szCs w:val="18"/>
        </w:rPr>
        <w:t>unamended</w:t>
      </w:r>
      <w:proofErr w:type="spellEnd"/>
      <w:r w:rsidRPr="00275A7A">
        <w:rPr>
          <w:rFonts w:ascii="Verdana" w:eastAsia="Times New Roman" w:hAnsi="Verdana" w:cs="Times New Roman"/>
          <w:color w:val="000000"/>
          <w:sz w:val="18"/>
          <w:szCs w:val="18"/>
        </w:rPr>
        <w:t xml:space="preserve"> form. But Bertelsmann J found this result in the circumstances, unpalatable, contrary to public policy and constitutionally unsound. In consequence he granted an order which effectively awarded one-fifth of the trust assets to each of the two appellants as their exclusive property, while the other potential beneficiaries retained their rights in terms of the amended trust deed in respect of the remaining three-fifths of the trust assets. This outcome satisfied neither the appellants nor the respondents. The appeal and cross-appeal that consequently followed are both with the leave of the court </w:t>
      </w:r>
      <w:r w:rsidRPr="00275A7A">
        <w:rPr>
          <w:rFonts w:ascii="Verdana" w:eastAsia="Times New Roman" w:hAnsi="Verdana" w:cs="Times New Roman"/>
          <w:i/>
          <w:iCs/>
          <w:color w:val="000000"/>
          <w:sz w:val="18"/>
          <w:szCs w:val="18"/>
        </w:rPr>
        <w:t>a quo</w:t>
      </w:r>
      <w:r w:rsidRPr="00275A7A">
        <w:rPr>
          <w:rFonts w:ascii="Verdana" w:eastAsia="Times New Roman" w:hAnsi="Verdana" w:cs="Times New Roman"/>
          <w:color w:val="000000"/>
          <w:sz w:val="18"/>
          <w:szCs w:val="18"/>
        </w:rPr>
        <w:t xml:space="preserve">. Apart from ancillary issues, there are two questions we have to </w:t>
      </w:r>
      <w:r w:rsidRPr="00275A7A">
        <w:rPr>
          <w:rFonts w:ascii="Verdana" w:eastAsia="Times New Roman" w:hAnsi="Verdana" w:cs="Times New Roman"/>
          <w:color w:val="000000"/>
          <w:sz w:val="18"/>
          <w:szCs w:val="18"/>
        </w:rPr>
        <w:lastRenderedPageBreak/>
        <w:t>determine: (a) was the purported variation of the trust deed invalid; and (b) if so, what should be the consequences of that finding?</w:t>
      </w:r>
    </w:p>
    <w:p w:rsidR="00275A7A" w:rsidRPr="00275A7A" w:rsidRDefault="00275A7A" w:rsidP="00275A7A">
      <w:pPr>
        <w:spacing w:before="180" w:after="0" w:line="240" w:lineRule="auto"/>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[3</w:t>
      </w:r>
      <w:proofErr w:type="gramStart"/>
      <w:r w:rsidRPr="00275A7A">
        <w:rPr>
          <w:rFonts w:ascii="Verdana" w:eastAsia="Times New Roman" w:hAnsi="Verdana" w:cs="Times New Roman"/>
          <w:color w:val="000000"/>
          <w:sz w:val="18"/>
          <w:szCs w:val="18"/>
        </w:rPr>
        <w:t>]  The</w:t>
      </w:r>
      <w:proofErr w:type="gramEnd"/>
      <w:r w:rsidRPr="00275A7A">
        <w:rPr>
          <w:rFonts w:ascii="Verdana" w:eastAsia="Times New Roman" w:hAnsi="Verdana" w:cs="Times New Roman"/>
          <w:color w:val="000000"/>
          <w:sz w:val="18"/>
          <w:szCs w:val="18"/>
        </w:rPr>
        <w:t xml:space="preserve"> opposing arguments bearing on these questions will be better understood against the factual background that follows. The founder of the trust </w:t>
      </w:r>
    </w:p>
    <w:p w:rsidR="00275A7A" w:rsidRPr="00275A7A" w:rsidRDefault="00275A7A" w:rsidP="00275A7A">
      <w:pPr>
        <w:spacing w:before="360" w:after="0" w:line="240" w:lineRule="auto"/>
        <w:rPr>
          <w:rFonts w:ascii="Verdana" w:eastAsia="Times New Roman" w:hAnsi="Verdana" w:cs="Times New Roman"/>
          <w:b/>
          <w:bCs/>
          <w:color w:val="000000"/>
          <w:sz w:val="16"/>
          <w:szCs w:val="16"/>
        </w:rPr>
      </w:pPr>
      <w:r w:rsidRPr="00275A7A">
        <w:rPr>
          <w:rFonts w:ascii="Verdana" w:eastAsia="Times New Roman" w:hAnsi="Verdana" w:cs="Times New Roman"/>
          <w:b/>
          <w:bCs/>
          <w:color w:val="000000"/>
          <w:sz w:val="16"/>
          <w:szCs w:val="16"/>
        </w:rPr>
        <w:t>Page 4 of [2011] JOL 27892 (SCA)</w:t>
      </w:r>
    </w:p>
    <w:p w:rsidR="00275A7A" w:rsidRPr="00275A7A" w:rsidRDefault="00275A7A" w:rsidP="00275A7A">
      <w:pPr>
        <w:spacing w:before="180" w:after="0" w:line="240" w:lineRule="auto"/>
        <w:jc w:val="both"/>
        <w:rPr>
          <w:rFonts w:ascii="Verdana" w:eastAsia="Times New Roman" w:hAnsi="Verdana" w:cs="Times New Roman"/>
          <w:color w:val="000000"/>
          <w:sz w:val="18"/>
          <w:szCs w:val="18"/>
        </w:rPr>
      </w:pPr>
      <w:proofErr w:type="gramStart"/>
      <w:r w:rsidRPr="00275A7A">
        <w:rPr>
          <w:rFonts w:ascii="Verdana" w:eastAsia="Times New Roman" w:hAnsi="Verdana" w:cs="Times New Roman"/>
          <w:color w:val="000000"/>
          <w:sz w:val="18"/>
          <w:szCs w:val="18"/>
        </w:rPr>
        <w:t>was</w:t>
      </w:r>
      <w:proofErr w:type="gramEnd"/>
      <w:r w:rsidRPr="00275A7A">
        <w:rPr>
          <w:rFonts w:ascii="Verdana" w:eastAsia="Times New Roman" w:hAnsi="Verdana" w:cs="Times New Roman"/>
          <w:color w:val="000000"/>
          <w:sz w:val="18"/>
          <w:szCs w:val="18"/>
        </w:rPr>
        <w:t xml:space="preserve"> </w:t>
      </w:r>
      <w:proofErr w:type="spellStart"/>
      <w:r w:rsidRPr="00275A7A">
        <w:rPr>
          <w:rFonts w:ascii="Verdana" w:eastAsia="Times New Roman" w:hAnsi="Verdana" w:cs="Times New Roman"/>
          <w:color w:val="000000"/>
          <w:sz w:val="18"/>
          <w:szCs w:val="18"/>
        </w:rPr>
        <w:t>Mr</w:t>
      </w:r>
      <w:proofErr w:type="spellEnd"/>
      <w:r w:rsidRPr="00275A7A">
        <w:rPr>
          <w:rFonts w:ascii="Verdana" w:eastAsia="Times New Roman" w:hAnsi="Verdana" w:cs="Times New Roman"/>
          <w:color w:val="000000"/>
          <w:sz w:val="18"/>
          <w:szCs w:val="18"/>
        </w:rPr>
        <w:t xml:space="preserve"> Victor </w:t>
      </w:r>
      <w:proofErr w:type="spellStart"/>
      <w:r w:rsidRPr="00275A7A">
        <w:rPr>
          <w:rFonts w:ascii="Verdana" w:eastAsia="Times New Roman" w:hAnsi="Verdana" w:cs="Times New Roman"/>
          <w:color w:val="000000"/>
          <w:sz w:val="18"/>
          <w:szCs w:val="18"/>
        </w:rPr>
        <w:t>Petrus</w:t>
      </w:r>
      <w:proofErr w:type="spellEnd"/>
      <w:r w:rsidRPr="00275A7A">
        <w:rPr>
          <w:rFonts w:ascii="Verdana" w:eastAsia="Times New Roman" w:hAnsi="Verdana" w:cs="Times New Roman"/>
          <w:color w:val="000000"/>
          <w:sz w:val="18"/>
          <w:szCs w:val="18"/>
        </w:rPr>
        <w:t xml:space="preserve"> Johannes Potgieter, a businessman of </w:t>
      </w:r>
      <w:proofErr w:type="spellStart"/>
      <w:r w:rsidRPr="00275A7A">
        <w:rPr>
          <w:rFonts w:ascii="Verdana" w:eastAsia="Times New Roman" w:hAnsi="Verdana" w:cs="Times New Roman"/>
          <w:color w:val="000000"/>
          <w:sz w:val="18"/>
          <w:szCs w:val="18"/>
        </w:rPr>
        <w:t>Mookgophong</w:t>
      </w:r>
      <w:proofErr w:type="spellEnd"/>
      <w:r w:rsidRPr="00275A7A">
        <w:rPr>
          <w:rFonts w:ascii="Verdana" w:eastAsia="Times New Roman" w:hAnsi="Verdana" w:cs="Times New Roman"/>
          <w:color w:val="000000"/>
          <w:sz w:val="18"/>
          <w:szCs w:val="18"/>
        </w:rPr>
        <w:t xml:space="preserve">, who passed away at the age of 49 on 28 April 2008 (the deceased). The two appellants, </w:t>
      </w:r>
      <w:proofErr w:type="spellStart"/>
      <w:r w:rsidRPr="00275A7A">
        <w:rPr>
          <w:rFonts w:ascii="Verdana" w:eastAsia="Times New Roman" w:hAnsi="Verdana" w:cs="Times New Roman"/>
          <w:color w:val="000000"/>
          <w:sz w:val="18"/>
          <w:szCs w:val="18"/>
        </w:rPr>
        <w:t>Mr</w:t>
      </w:r>
      <w:proofErr w:type="spellEnd"/>
      <w:r w:rsidRPr="00275A7A">
        <w:rPr>
          <w:rFonts w:ascii="Verdana" w:eastAsia="Times New Roman" w:hAnsi="Verdana" w:cs="Times New Roman"/>
          <w:color w:val="000000"/>
          <w:sz w:val="18"/>
          <w:szCs w:val="18"/>
        </w:rPr>
        <w:t xml:space="preserve"> Jan </w:t>
      </w:r>
      <w:proofErr w:type="spellStart"/>
      <w:r w:rsidRPr="00275A7A">
        <w:rPr>
          <w:rFonts w:ascii="Verdana" w:eastAsia="Times New Roman" w:hAnsi="Verdana" w:cs="Times New Roman"/>
          <w:color w:val="000000"/>
          <w:sz w:val="18"/>
          <w:szCs w:val="18"/>
        </w:rPr>
        <w:t>Wilhelmus</w:t>
      </w:r>
      <w:proofErr w:type="spellEnd"/>
      <w:r w:rsidRPr="00275A7A">
        <w:rPr>
          <w:rFonts w:ascii="Verdana" w:eastAsia="Times New Roman" w:hAnsi="Verdana" w:cs="Times New Roman"/>
          <w:color w:val="000000"/>
          <w:sz w:val="18"/>
          <w:szCs w:val="18"/>
        </w:rPr>
        <w:t xml:space="preserve"> Potgieter and </w:t>
      </w:r>
      <w:proofErr w:type="spellStart"/>
      <w:r w:rsidRPr="00275A7A">
        <w:rPr>
          <w:rFonts w:ascii="Verdana" w:eastAsia="Times New Roman" w:hAnsi="Verdana" w:cs="Times New Roman"/>
          <w:color w:val="000000"/>
          <w:sz w:val="18"/>
          <w:szCs w:val="18"/>
        </w:rPr>
        <w:t>Mrs</w:t>
      </w:r>
      <w:proofErr w:type="spellEnd"/>
      <w:r w:rsidRPr="00275A7A">
        <w:rPr>
          <w:rFonts w:ascii="Verdana" w:eastAsia="Times New Roman" w:hAnsi="Verdana" w:cs="Times New Roman"/>
          <w:color w:val="000000"/>
          <w:sz w:val="18"/>
          <w:szCs w:val="18"/>
        </w:rPr>
        <w:t xml:space="preserve"> </w:t>
      </w:r>
      <w:proofErr w:type="spellStart"/>
      <w:r w:rsidRPr="00275A7A">
        <w:rPr>
          <w:rFonts w:ascii="Verdana" w:eastAsia="Times New Roman" w:hAnsi="Verdana" w:cs="Times New Roman"/>
          <w:color w:val="000000"/>
          <w:sz w:val="18"/>
          <w:szCs w:val="18"/>
        </w:rPr>
        <w:t>Magdell</w:t>
      </w:r>
      <w:proofErr w:type="spellEnd"/>
      <w:r w:rsidRPr="00275A7A">
        <w:rPr>
          <w:rFonts w:ascii="Verdana" w:eastAsia="Times New Roman" w:hAnsi="Verdana" w:cs="Times New Roman"/>
          <w:color w:val="000000"/>
          <w:sz w:val="18"/>
          <w:szCs w:val="18"/>
        </w:rPr>
        <w:t xml:space="preserve"> Woodward (born Potgieter) were the only children of the deceased. The first and second respondents are cited in their capacities as the two trustees of the trust. They are </w:t>
      </w:r>
      <w:proofErr w:type="spellStart"/>
      <w:r w:rsidRPr="00275A7A">
        <w:rPr>
          <w:rFonts w:ascii="Verdana" w:eastAsia="Times New Roman" w:hAnsi="Verdana" w:cs="Times New Roman"/>
          <w:color w:val="000000"/>
          <w:sz w:val="18"/>
          <w:szCs w:val="18"/>
        </w:rPr>
        <w:t>Mrs</w:t>
      </w:r>
      <w:proofErr w:type="spellEnd"/>
      <w:r w:rsidRPr="00275A7A">
        <w:rPr>
          <w:rFonts w:ascii="Verdana" w:eastAsia="Times New Roman" w:hAnsi="Verdana" w:cs="Times New Roman"/>
          <w:color w:val="000000"/>
          <w:sz w:val="18"/>
          <w:szCs w:val="18"/>
        </w:rPr>
        <w:t xml:space="preserve"> Anna-Marie Juliana Potgieter, who married the deceased after his divorce from the mother of the appellants, and </w:t>
      </w:r>
      <w:proofErr w:type="spellStart"/>
      <w:r w:rsidRPr="00275A7A">
        <w:rPr>
          <w:rFonts w:ascii="Verdana" w:eastAsia="Times New Roman" w:hAnsi="Verdana" w:cs="Times New Roman"/>
          <w:color w:val="000000"/>
          <w:sz w:val="18"/>
          <w:szCs w:val="18"/>
        </w:rPr>
        <w:t>Mr</w:t>
      </w:r>
      <w:proofErr w:type="spellEnd"/>
      <w:r w:rsidRPr="00275A7A">
        <w:rPr>
          <w:rFonts w:ascii="Verdana" w:eastAsia="Times New Roman" w:hAnsi="Verdana" w:cs="Times New Roman"/>
          <w:color w:val="000000"/>
          <w:sz w:val="18"/>
          <w:szCs w:val="18"/>
        </w:rPr>
        <w:t xml:space="preserve"> </w:t>
      </w:r>
      <w:proofErr w:type="spellStart"/>
      <w:r w:rsidRPr="00275A7A">
        <w:rPr>
          <w:rFonts w:ascii="Verdana" w:eastAsia="Times New Roman" w:hAnsi="Verdana" w:cs="Times New Roman"/>
          <w:color w:val="000000"/>
          <w:sz w:val="18"/>
          <w:szCs w:val="18"/>
        </w:rPr>
        <w:t>Theron</w:t>
      </w:r>
      <w:proofErr w:type="spellEnd"/>
      <w:r w:rsidRPr="00275A7A">
        <w:rPr>
          <w:rFonts w:ascii="Verdana" w:eastAsia="Times New Roman" w:hAnsi="Verdana" w:cs="Times New Roman"/>
          <w:color w:val="000000"/>
          <w:sz w:val="18"/>
          <w:szCs w:val="18"/>
        </w:rPr>
        <w:t xml:space="preserve"> </w:t>
      </w:r>
      <w:proofErr w:type="spellStart"/>
      <w:r w:rsidRPr="00275A7A">
        <w:rPr>
          <w:rFonts w:ascii="Verdana" w:eastAsia="Times New Roman" w:hAnsi="Verdana" w:cs="Times New Roman"/>
          <w:color w:val="000000"/>
          <w:sz w:val="18"/>
          <w:szCs w:val="18"/>
        </w:rPr>
        <w:t>Wessels</w:t>
      </w:r>
      <w:proofErr w:type="spellEnd"/>
      <w:r w:rsidRPr="00275A7A">
        <w:rPr>
          <w:rFonts w:ascii="Verdana" w:eastAsia="Times New Roman" w:hAnsi="Verdana" w:cs="Times New Roman"/>
          <w:color w:val="000000"/>
          <w:sz w:val="18"/>
          <w:szCs w:val="18"/>
        </w:rPr>
        <w:t xml:space="preserve"> who was the deceased's attorney. The third respondent is </w:t>
      </w:r>
      <w:proofErr w:type="spellStart"/>
      <w:r w:rsidRPr="00275A7A">
        <w:rPr>
          <w:rFonts w:ascii="Verdana" w:eastAsia="Times New Roman" w:hAnsi="Verdana" w:cs="Times New Roman"/>
          <w:color w:val="000000"/>
          <w:sz w:val="18"/>
          <w:szCs w:val="18"/>
        </w:rPr>
        <w:t>Mrs</w:t>
      </w:r>
      <w:proofErr w:type="spellEnd"/>
      <w:r w:rsidRPr="00275A7A">
        <w:rPr>
          <w:rFonts w:ascii="Verdana" w:eastAsia="Times New Roman" w:hAnsi="Verdana" w:cs="Times New Roman"/>
          <w:color w:val="000000"/>
          <w:sz w:val="18"/>
          <w:szCs w:val="18"/>
        </w:rPr>
        <w:t xml:space="preserve"> Potgieter in her personal capacity. The fourth and fifth respondents are </w:t>
      </w:r>
      <w:proofErr w:type="spellStart"/>
      <w:r w:rsidRPr="00275A7A">
        <w:rPr>
          <w:rFonts w:ascii="Verdana" w:eastAsia="Times New Roman" w:hAnsi="Verdana" w:cs="Times New Roman"/>
          <w:color w:val="000000"/>
          <w:sz w:val="18"/>
          <w:szCs w:val="18"/>
        </w:rPr>
        <w:t>Mr</w:t>
      </w:r>
      <w:proofErr w:type="spellEnd"/>
      <w:r w:rsidRPr="00275A7A">
        <w:rPr>
          <w:rFonts w:ascii="Verdana" w:eastAsia="Times New Roman" w:hAnsi="Verdana" w:cs="Times New Roman"/>
          <w:color w:val="000000"/>
          <w:sz w:val="18"/>
          <w:szCs w:val="18"/>
        </w:rPr>
        <w:t xml:space="preserve"> </w:t>
      </w:r>
      <w:proofErr w:type="spellStart"/>
      <w:r w:rsidRPr="00275A7A">
        <w:rPr>
          <w:rFonts w:ascii="Verdana" w:eastAsia="Times New Roman" w:hAnsi="Verdana" w:cs="Times New Roman"/>
          <w:color w:val="000000"/>
          <w:sz w:val="18"/>
          <w:szCs w:val="18"/>
        </w:rPr>
        <w:t>Jandré</w:t>
      </w:r>
      <w:proofErr w:type="spellEnd"/>
      <w:r w:rsidRPr="00275A7A">
        <w:rPr>
          <w:rFonts w:ascii="Verdana" w:eastAsia="Times New Roman" w:hAnsi="Verdana" w:cs="Times New Roman"/>
          <w:color w:val="000000"/>
          <w:sz w:val="18"/>
          <w:szCs w:val="18"/>
        </w:rPr>
        <w:t xml:space="preserve"> Venter and </w:t>
      </w:r>
      <w:proofErr w:type="spellStart"/>
      <w:r w:rsidRPr="00275A7A">
        <w:rPr>
          <w:rFonts w:ascii="Verdana" w:eastAsia="Times New Roman" w:hAnsi="Verdana" w:cs="Times New Roman"/>
          <w:color w:val="000000"/>
          <w:sz w:val="18"/>
          <w:szCs w:val="18"/>
        </w:rPr>
        <w:t>Mr</w:t>
      </w:r>
      <w:proofErr w:type="spellEnd"/>
      <w:r w:rsidRPr="00275A7A">
        <w:rPr>
          <w:rFonts w:ascii="Verdana" w:eastAsia="Times New Roman" w:hAnsi="Verdana" w:cs="Times New Roman"/>
          <w:color w:val="000000"/>
          <w:sz w:val="18"/>
          <w:szCs w:val="18"/>
        </w:rPr>
        <w:t xml:space="preserve"> </w:t>
      </w:r>
      <w:proofErr w:type="spellStart"/>
      <w:r w:rsidRPr="00275A7A">
        <w:rPr>
          <w:rFonts w:ascii="Verdana" w:eastAsia="Times New Roman" w:hAnsi="Verdana" w:cs="Times New Roman"/>
          <w:color w:val="000000"/>
          <w:sz w:val="18"/>
          <w:szCs w:val="18"/>
        </w:rPr>
        <w:t>Ruan</w:t>
      </w:r>
      <w:proofErr w:type="spellEnd"/>
      <w:r w:rsidRPr="00275A7A">
        <w:rPr>
          <w:rFonts w:ascii="Verdana" w:eastAsia="Times New Roman" w:hAnsi="Verdana" w:cs="Times New Roman"/>
          <w:color w:val="000000"/>
          <w:sz w:val="18"/>
          <w:szCs w:val="18"/>
        </w:rPr>
        <w:t xml:space="preserve"> Venter, the two sons of </w:t>
      </w:r>
      <w:proofErr w:type="spellStart"/>
      <w:r w:rsidRPr="00275A7A">
        <w:rPr>
          <w:rFonts w:ascii="Verdana" w:eastAsia="Times New Roman" w:hAnsi="Verdana" w:cs="Times New Roman"/>
          <w:color w:val="000000"/>
          <w:sz w:val="18"/>
          <w:szCs w:val="18"/>
        </w:rPr>
        <w:t>Mrs</w:t>
      </w:r>
      <w:proofErr w:type="spellEnd"/>
      <w:r w:rsidRPr="00275A7A">
        <w:rPr>
          <w:rFonts w:ascii="Verdana" w:eastAsia="Times New Roman" w:hAnsi="Verdana" w:cs="Times New Roman"/>
          <w:color w:val="000000"/>
          <w:sz w:val="18"/>
          <w:szCs w:val="18"/>
        </w:rPr>
        <w:t xml:space="preserve"> Potgieter from her previous marriage, while the seventh respondent is </w:t>
      </w:r>
      <w:proofErr w:type="spellStart"/>
      <w:r w:rsidRPr="00275A7A">
        <w:rPr>
          <w:rFonts w:ascii="Verdana" w:eastAsia="Times New Roman" w:hAnsi="Verdana" w:cs="Times New Roman"/>
          <w:color w:val="000000"/>
          <w:sz w:val="18"/>
          <w:szCs w:val="18"/>
        </w:rPr>
        <w:t>Wessels</w:t>
      </w:r>
      <w:proofErr w:type="spellEnd"/>
      <w:r w:rsidRPr="00275A7A">
        <w:rPr>
          <w:rFonts w:ascii="Verdana" w:eastAsia="Times New Roman" w:hAnsi="Verdana" w:cs="Times New Roman"/>
          <w:color w:val="000000"/>
          <w:sz w:val="18"/>
          <w:szCs w:val="18"/>
        </w:rPr>
        <w:t xml:space="preserve"> in his personal capacity.</w:t>
      </w:r>
    </w:p>
    <w:p w:rsidR="00275A7A" w:rsidRPr="00275A7A" w:rsidRDefault="00275A7A" w:rsidP="00275A7A">
      <w:pPr>
        <w:spacing w:before="180" w:after="0" w:line="240" w:lineRule="auto"/>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[4</w:t>
      </w:r>
      <w:proofErr w:type="gramStart"/>
      <w:r w:rsidRPr="00275A7A">
        <w:rPr>
          <w:rFonts w:ascii="Verdana" w:eastAsia="Times New Roman" w:hAnsi="Verdana" w:cs="Times New Roman"/>
          <w:color w:val="000000"/>
          <w:sz w:val="18"/>
          <w:szCs w:val="18"/>
        </w:rPr>
        <w:t>]  The</w:t>
      </w:r>
      <w:proofErr w:type="gramEnd"/>
      <w:r w:rsidRPr="00275A7A">
        <w:rPr>
          <w:rFonts w:ascii="Verdana" w:eastAsia="Times New Roman" w:hAnsi="Verdana" w:cs="Times New Roman"/>
          <w:color w:val="000000"/>
          <w:sz w:val="18"/>
          <w:szCs w:val="18"/>
        </w:rPr>
        <w:t xml:space="preserve"> trust was originally created under the name of the </w:t>
      </w:r>
      <w:proofErr w:type="spellStart"/>
      <w:r w:rsidRPr="00275A7A">
        <w:rPr>
          <w:rFonts w:ascii="Verdana" w:eastAsia="Times New Roman" w:hAnsi="Verdana" w:cs="Times New Roman"/>
          <w:color w:val="000000"/>
          <w:sz w:val="18"/>
          <w:szCs w:val="18"/>
        </w:rPr>
        <w:t>Buffelshoek</w:t>
      </w:r>
      <w:proofErr w:type="spellEnd"/>
      <w:r w:rsidRPr="00275A7A">
        <w:rPr>
          <w:rFonts w:ascii="Verdana" w:eastAsia="Times New Roman" w:hAnsi="Verdana" w:cs="Times New Roman"/>
          <w:color w:val="000000"/>
          <w:sz w:val="18"/>
          <w:szCs w:val="18"/>
        </w:rPr>
        <w:t xml:space="preserve"> </w:t>
      </w:r>
      <w:proofErr w:type="spellStart"/>
      <w:r w:rsidRPr="00275A7A">
        <w:rPr>
          <w:rFonts w:ascii="Verdana" w:eastAsia="Times New Roman" w:hAnsi="Verdana" w:cs="Times New Roman"/>
          <w:color w:val="000000"/>
          <w:sz w:val="18"/>
          <w:szCs w:val="18"/>
        </w:rPr>
        <w:t>Familie</w:t>
      </w:r>
      <w:proofErr w:type="spellEnd"/>
      <w:r w:rsidRPr="00275A7A">
        <w:rPr>
          <w:rFonts w:ascii="Verdana" w:eastAsia="Times New Roman" w:hAnsi="Verdana" w:cs="Times New Roman"/>
          <w:color w:val="000000"/>
          <w:sz w:val="18"/>
          <w:szCs w:val="18"/>
        </w:rPr>
        <w:t xml:space="preserve"> Trust, by means of a trust deed which was </w:t>
      </w:r>
      <w:proofErr w:type="spellStart"/>
      <w:r w:rsidRPr="00275A7A">
        <w:rPr>
          <w:rFonts w:ascii="Verdana" w:eastAsia="Times New Roman" w:hAnsi="Verdana" w:cs="Times New Roman"/>
          <w:color w:val="000000"/>
          <w:sz w:val="18"/>
          <w:szCs w:val="18"/>
        </w:rPr>
        <w:t>notarially</w:t>
      </w:r>
      <w:proofErr w:type="spellEnd"/>
      <w:r w:rsidRPr="00275A7A">
        <w:rPr>
          <w:rFonts w:ascii="Verdana" w:eastAsia="Times New Roman" w:hAnsi="Verdana" w:cs="Times New Roman"/>
          <w:color w:val="000000"/>
          <w:sz w:val="18"/>
          <w:szCs w:val="18"/>
        </w:rPr>
        <w:t xml:space="preserve"> executed on 1 June 1999. In terms of the trust deed the deceased was one of the original trustees. So was </w:t>
      </w:r>
      <w:proofErr w:type="spellStart"/>
      <w:r w:rsidRPr="00275A7A">
        <w:rPr>
          <w:rFonts w:ascii="Verdana" w:eastAsia="Times New Roman" w:hAnsi="Verdana" w:cs="Times New Roman"/>
          <w:color w:val="000000"/>
          <w:sz w:val="18"/>
          <w:szCs w:val="18"/>
        </w:rPr>
        <w:t>Wessels</w:t>
      </w:r>
      <w:proofErr w:type="spellEnd"/>
      <w:r w:rsidRPr="00275A7A">
        <w:rPr>
          <w:rFonts w:ascii="Verdana" w:eastAsia="Times New Roman" w:hAnsi="Verdana" w:cs="Times New Roman"/>
          <w:color w:val="000000"/>
          <w:sz w:val="18"/>
          <w:szCs w:val="18"/>
        </w:rPr>
        <w:t xml:space="preserve">, who was his attorney throughout. The third original trustee, who was the deceased's accountant, </w:t>
      </w:r>
      <w:proofErr w:type="spellStart"/>
      <w:r w:rsidRPr="00275A7A">
        <w:rPr>
          <w:rFonts w:ascii="Verdana" w:eastAsia="Times New Roman" w:hAnsi="Verdana" w:cs="Times New Roman"/>
          <w:color w:val="000000"/>
          <w:sz w:val="18"/>
          <w:szCs w:val="18"/>
        </w:rPr>
        <w:t>Mr</w:t>
      </w:r>
      <w:proofErr w:type="spellEnd"/>
      <w:r w:rsidRPr="00275A7A">
        <w:rPr>
          <w:rFonts w:ascii="Verdana" w:eastAsia="Times New Roman" w:hAnsi="Verdana" w:cs="Times New Roman"/>
          <w:color w:val="000000"/>
          <w:sz w:val="18"/>
          <w:szCs w:val="18"/>
        </w:rPr>
        <w:t xml:space="preserve"> </w:t>
      </w:r>
      <w:proofErr w:type="spellStart"/>
      <w:r w:rsidRPr="00275A7A">
        <w:rPr>
          <w:rFonts w:ascii="Verdana" w:eastAsia="Times New Roman" w:hAnsi="Verdana" w:cs="Times New Roman"/>
          <w:color w:val="000000"/>
          <w:sz w:val="18"/>
          <w:szCs w:val="18"/>
        </w:rPr>
        <w:t>Nicolaas</w:t>
      </w:r>
      <w:proofErr w:type="spellEnd"/>
      <w:r w:rsidRPr="00275A7A">
        <w:rPr>
          <w:rFonts w:ascii="Verdana" w:eastAsia="Times New Roman" w:hAnsi="Verdana" w:cs="Times New Roman"/>
          <w:color w:val="000000"/>
          <w:sz w:val="18"/>
          <w:szCs w:val="18"/>
        </w:rPr>
        <w:t xml:space="preserve"> </w:t>
      </w:r>
      <w:proofErr w:type="spellStart"/>
      <w:r w:rsidRPr="00275A7A">
        <w:rPr>
          <w:rFonts w:ascii="Verdana" w:eastAsia="Times New Roman" w:hAnsi="Verdana" w:cs="Times New Roman"/>
          <w:color w:val="000000"/>
          <w:sz w:val="18"/>
          <w:szCs w:val="18"/>
        </w:rPr>
        <w:t>Louwrens</w:t>
      </w:r>
      <w:proofErr w:type="spellEnd"/>
      <w:r w:rsidRPr="00275A7A">
        <w:rPr>
          <w:rFonts w:ascii="Verdana" w:eastAsia="Times New Roman" w:hAnsi="Verdana" w:cs="Times New Roman"/>
          <w:color w:val="000000"/>
          <w:sz w:val="18"/>
          <w:szCs w:val="18"/>
        </w:rPr>
        <w:t xml:space="preserve"> Pretorius, resigned his position on 2 July 2001 before the occurrence of further events that are relevant to this case. A proper appreciation of the import of the impugned amendments that were to follow unfortunately requires a somewhat detailed rendition of the original terms of the trust deed.</w:t>
      </w:r>
    </w:p>
    <w:p w:rsidR="00275A7A" w:rsidRPr="00275A7A" w:rsidRDefault="00275A7A" w:rsidP="00275A7A">
      <w:pPr>
        <w:spacing w:before="180" w:after="0" w:line="240" w:lineRule="auto"/>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[5</w:t>
      </w:r>
      <w:proofErr w:type="gramStart"/>
      <w:r w:rsidRPr="00275A7A">
        <w:rPr>
          <w:rFonts w:ascii="Verdana" w:eastAsia="Times New Roman" w:hAnsi="Verdana" w:cs="Times New Roman"/>
          <w:color w:val="000000"/>
          <w:sz w:val="18"/>
          <w:szCs w:val="18"/>
        </w:rPr>
        <w:t>]  The</w:t>
      </w:r>
      <w:proofErr w:type="gramEnd"/>
      <w:r w:rsidRPr="00275A7A">
        <w:rPr>
          <w:rFonts w:ascii="Verdana" w:eastAsia="Times New Roman" w:hAnsi="Verdana" w:cs="Times New Roman"/>
          <w:color w:val="000000"/>
          <w:sz w:val="18"/>
          <w:szCs w:val="18"/>
        </w:rPr>
        <w:t xml:space="preserve"> original trust deed was in Afrikaans. According to my translation, its terms that turned out to be pertinent laid down the following:</w:t>
      </w:r>
    </w:p>
    <w:p w:rsidR="00275A7A" w:rsidRPr="00275A7A" w:rsidRDefault="00275A7A" w:rsidP="00275A7A">
      <w:pPr>
        <w:spacing w:before="180" w:after="0" w:line="240" w:lineRule="auto"/>
        <w:ind w:left="567" w:hanging="567"/>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(a)</w:t>
      </w:r>
    </w:p>
    <w:p w:rsidR="00275A7A" w:rsidRPr="00275A7A" w:rsidRDefault="00275A7A" w:rsidP="00275A7A">
      <w:pPr>
        <w:spacing w:after="0" w:line="240" w:lineRule="auto"/>
        <w:ind w:left="567"/>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 xml:space="preserve">Clause 1.3.1 of the trust deed nominated the two appellants as the capital beneficiaries of the </w:t>
      </w:r>
      <w:proofErr w:type="spellStart"/>
      <w:r w:rsidRPr="00275A7A">
        <w:rPr>
          <w:rFonts w:ascii="Verdana" w:eastAsia="Times New Roman" w:hAnsi="Verdana" w:cs="Times New Roman"/>
          <w:color w:val="000000"/>
          <w:sz w:val="18"/>
          <w:szCs w:val="18"/>
        </w:rPr>
        <w:t>Buffelshoek</w:t>
      </w:r>
      <w:proofErr w:type="spellEnd"/>
      <w:r w:rsidRPr="00275A7A">
        <w:rPr>
          <w:rFonts w:ascii="Verdana" w:eastAsia="Times New Roman" w:hAnsi="Verdana" w:cs="Times New Roman"/>
          <w:color w:val="000000"/>
          <w:sz w:val="18"/>
          <w:szCs w:val="18"/>
        </w:rPr>
        <w:t xml:space="preserve"> </w:t>
      </w:r>
      <w:proofErr w:type="spellStart"/>
      <w:r w:rsidRPr="00275A7A">
        <w:rPr>
          <w:rFonts w:ascii="Verdana" w:eastAsia="Times New Roman" w:hAnsi="Verdana" w:cs="Times New Roman"/>
          <w:color w:val="000000"/>
          <w:sz w:val="18"/>
          <w:szCs w:val="18"/>
        </w:rPr>
        <w:t>Familie</w:t>
      </w:r>
      <w:proofErr w:type="spellEnd"/>
      <w:r w:rsidRPr="00275A7A">
        <w:rPr>
          <w:rFonts w:ascii="Verdana" w:eastAsia="Times New Roman" w:hAnsi="Verdana" w:cs="Times New Roman"/>
          <w:color w:val="000000"/>
          <w:sz w:val="18"/>
          <w:szCs w:val="18"/>
        </w:rPr>
        <w:t xml:space="preserve"> Trust. It provided that:</w:t>
      </w:r>
    </w:p>
    <w:p w:rsidR="00275A7A" w:rsidRPr="00275A7A" w:rsidRDefault="00275A7A" w:rsidP="00275A7A">
      <w:pPr>
        <w:spacing w:before="180" w:after="0" w:line="240" w:lineRule="auto"/>
        <w:ind w:left="567" w:right="567"/>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 xml:space="preserve">"'capital beneficiaries' are the following persons: </w:t>
      </w:r>
      <w:proofErr w:type="spellStart"/>
      <w:r w:rsidRPr="00275A7A">
        <w:rPr>
          <w:rFonts w:ascii="Verdana" w:eastAsia="Times New Roman" w:hAnsi="Verdana" w:cs="Times New Roman"/>
          <w:color w:val="000000"/>
          <w:sz w:val="18"/>
          <w:szCs w:val="18"/>
        </w:rPr>
        <w:t>Magdell</w:t>
      </w:r>
      <w:proofErr w:type="spellEnd"/>
      <w:r w:rsidRPr="00275A7A">
        <w:rPr>
          <w:rFonts w:ascii="Verdana" w:eastAsia="Times New Roman" w:hAnsi="Verdana" w:cs="Times New Roman"/>
          <w:color w:val="000000"/>
          <w:sz w:val="18"/>
          <w:szCs w:val="18"/>
        </w:rPr>
        <w:t xml:space="preserve"> Potgieter, born on 30 September 1982 and Jan </w:t>
      </w:r>
      <w:proofErr w:type="spellStart"/>
      <w:r w:rsidRPr="00275A7A">
        <w:rPr>
          <w:rFonts w:ascii="Verdana" w:eastAsia="Times New Roman" w:hAnsi="Verdana" w:cs="Times New Roman"/>
          <w:color w:val="000000"/>
          <w:sz w:val="18"/>
          <w:szCs w:val="18"/>
        </w:rPr>
        <w:t>Wilhelmus</w:t>
      </w:r>
      <w:proofErr w:type="spellEnd"/>
      <w:r w:rsidRPr="00275A7A">
        <w:rPr>
          <w:rFonts w:ascii="Verdana" w:eastAsia="Times New Roman" w:hAnsi="Verdana" w:cs="Times New Roman"/>
          <w:color w:val="000000"/>
          <w:sz w:val="18"/>
          <w:szCs w:val="18"/>
        </w:rPr>
        <w:t xml:space="preserve"> Potgieter, born on 15 June 1984: being the children of [the deceased] on the understanding that they will not receive any benefit from the </w:t>
      </w:r>
    </w:p>
    <w:p w:rsidR="00275A7A" w:rsidRPr="00275A7A" w:rsidRDefault="00275A7A" w:rsidP="00275A7A">
      <w:pPr>
        <w:spacing w:before="360" w:after="0" w:line="240" w:lineRule="auto"/>
        <w:rPr>
          <w:rFonts w:ascii="Verdana" w:eastAsia="Times New Roman" w:hAnsi="Verdana" w:cs="Times New Roman"/>
          <w:b/>
          <w:bCs/>
          <w:color w:val="000000"/>
          <w:sz w:val="16"/>
          <w:szCs w:val="16"/>
        </w:rPr>
      </w:pPr>
      <w:r w:rsidRPr="00275A7A">
        <w:rPr>
          <w:rFonts w:ascii="Verdana" w:eastAsia="Times New Roman" w:hAnsi="Verdana" w:cs="Times New Roman"/>
          <w:b/>
          <w:bCs/>
          <w:color w:val="000000"/>
          <w:sz w:val="16"/>
          <w:szCs w:val="16"/>
        </w:rPr>
        <w:t>Page 5 of [2011] JOL 27892 (SCA)</w:t>
      </w:r>
    </w:p>
    <w:p w:rsidR="00275A7A" w:rsidRPr="00275A7A" w:rsidRDefault="00275A7A" w:rsidP="00275A7A">
      <w:pPr>
        <w:spacing w:before="180" w:after="0" w:line="240" w:lineRule="auto"/>
        <w:ind w:left="567" w:right="567"/>
        <w:jc w:val="both"/>
        <w:rPr>
          <w:rFonts w:ascii="Verdana" w:eastAsia="Times New Roman" w:hAnsi="Verdana" w:cs="Times New Roman"/>
          <w:color w:val="000000"/>
          <w:sz w:val="18"/>
          <w:szCs w:val="18"/>
        </w:rPr>
      </w:pPr>
      <w:proofErr w:type="gramStart"/>
      <w:r w:rsidRPr="00275A7A">
        <w:rPr>
          <w:rFonts w:ascii="Verdana" w:eastAsia="Times New Roman" w:hAnsi="Verdana" w:cs="Times New Roman"/>
          <w:color w:val="000000"/>
          <w:sz w:val="18"/>
          <w:szCs w:val="18"/>
        </w:rPr>
        <w:t>trust</w:t>
      </w:r>
      <w:proofErr w:type="gramEnd"/>
      <w:r w:rsidRPr="00275A7A">
        <w:rPr>
          <w:rFonts w:ascii="Verdana" w:eastAsia="Times New Roman" w:hAnsi="Verdana" w:cs="Times New Roman"/>
          <w:color w:val="000000"/>
          <w:sz w:val="18"/>
          <w:szCs w:val="18"/>
        </w:rPr>
        <w:t xml:space="preserve"> during the life of [the deceased], unless the [the deceased] consents thereto in writing"</w:t>
      </w:r>
    </w:p>
    <w:p w:rsidR="00275A7A" w:rsidRPr="00275A7A" w:rsidRDefault="00275A7A" w:rsidP="00275A7A">
      <w:pPr>
        <w:spacing w:before="180" w:after="0" w:line="240" w:lineRule="auto"/>
        <w:ind w:left="567" w:hanging="567"/>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(b)</w:t>
      </w:r>
    </w:p>
    <w:p w:rsidR="00275A7A" w:rsidRPr="00275A7A" w:rsidRDefault="00275A7A" w:rsidP="00275A7A">
      <w:pPr>
        <w:spacing w:after="0" w:line="240" w:lineRule="auto"/>
        <w:ind w:left="567"/>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Clause 1.3.2 of the trust deed provided that the income beneficiaries of the trust were to be determined by the trustees in their discretion from a class consisting of the two capital beneficiaries or those related to them in consanguinity or affinity.</w:t>
      </w:r>
    </w:p>
    <w:p w:rsidR="00275A7A" w:rsidRPr="00275A7A" w:rsidRDefault="00275A7A" w:rsidP="00275A7A">
      <w:pPr>
        <w:spacing w:before="180" w:after="0" w:line="240" w:lineRule="auto"/>
        <w:ind w:left="567" w:hanging="567"/>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(c)</w:t>
      </w:r>
    </w:p>
    <w:p w:rsidR="00275A7A" w:rsidRPr="00275A7A" w:rsidRDefault="00275A7A" w:rsidP="00275A7A">
      <w:pPr>
        <w:spacing w:after="0" w:line="240" w:lineRule="auto"/>
        <w:ind w:left="567"/>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Clause 1.6 defined "vesting date" for the purposes of clause 13 as the first of the following dates:</w:t>
      </w:r>
    </w:p>
    <w:p w:rsidR="00275A7A" w:rsidRPr="00275A7A" w:rsidRDefault="00275A7A" w:rsidP="00275A7A">
      <w:pPr>
        <w:spacing w:before="180" w:after="0" w:line="240" w:lineRule="auto"/>
        <w:ind w:left="1134" w:hanging="567"/>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w:t>
      </w:r>
      <w:proofErr w:type="spellStart"/>
      <w:proofErr w:type="gramStart"/>
      <w:r w:rsidRPr="00275A7A">
        <w:rPr>
          <w:rFonts w:ascii="Verdana" w:eastAsia="Times New Roman" w:hAnsi="Verdana" w:cs="Times New Roman"/>
          <w:color w:val="000000"/>
          <w:sz w:val="18"/>
          <w:szCs w:val="18"/>
        </w:rPr>
        <w:t>i</w:t>
      </w:r>
      <w:proofErr w:type="spellEnd"/>
      <w:proofErr w:type="gramEnd"/>
      <w:r w:rsidRPr="00275A7A">
        <w:rPr>
          <w:rFonts w:ascii="Verdana" w:eastAsia="Times New Roman" w:hAnsi="Verdana" w:cs="Times New Roman"/>
          <w:color w:val="000000"/>
          <w:sz w:val="18"/>
          <w:szCs w:val="18"/>
        </w:rPr>
        <w:t>)</w:t>
      </w:r>
    </w:p>
    <w:p w:rsidR="00275A7A" w:rsidRPr="00275A7A" w:rsidRDefault="00275A7A" w:rsidP="00275A7A">
      <w:pPr>
        <w:spacing w:after="0" w:line="240" w:lineRule="auto"/>
        <w:ind w:left="1134"/>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The date of death of the founder (the deceased);</w:t>
      </w:r>
    </w:p>
    <w:p w:rsidR="00275A7A" w:rsidRPr="00275A7A" w:rsidRDefault="00275A7A" w:rsidP="00275A7A">
      <w:pPr>
        <w:spacing w:before="180" w:after="0" w:line="240" w:lineRule="auto"/>
        <w:ind w:left="1134" w:hanging="567"/>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(ii)</w:t>
      </w:r>
    </w:p>
    <w:p w:rsidR="00275A7A" w:rsidRPr="00275A7A" w:rsidRDefault="00275A7A" w:rsidP="00275A7A">
      <w:pPr>
        <w:spacing w:after="0" w:line="240" w:lineRule="auto"/>
        <w:ind w:left="1134"/>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The date determined at any time by the trustees as the vesting date on the condition that such date is not earlier than the date on which the younger of the capital beneficiaries reaches the age of 21, but in any event not later than the date on which the younger of the capital beneficiaries reaches the age of 25 years.</w:t>
      </w:r>
    </w:p>
    <w:p w:rsidR="00275A7A" w:rsidRPr="00275A7A" w:rsidRDefault="00275A7A" w:rsidP="00275A7A">
      <w:pPr>
        <w:spacing w:before="180" w:after="0" w:line="240" w:lineRule="auto"/>
        <w:ind w:left="567" w:hanging="567"/>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lastRenderedPageBreak/>
        <w:t>(d)</w:t>
      </w:r>
    </w:p>
    <w:p w:rsidR="00275A7A" w:rsidRPr="00275A7A" w:rsidRDefault="00275A7A" w:rsidP="00275A7A">
      <w:pPr>
        <w:spacing w:after="0" w:line="240" w:lineRule="auto"/>
        <w:ind w:left="567"/>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Clause 13 provided, in turn, that:</w:t>
      </w:r>
    </w:p>
    <w:p w:rsidR="00275A7A" w:rsidRPr="00275A7A" w:rsidRDefault="00275A7A" w:rsidP="00275A7A">
      <w:pPr>
        <w:spacing w:before="180" w:after="0" w:line="240" w:lineRule="auto"/>
        <w:ind w:left="1134" w:hanging="567"/>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w:t>
      </w:r>
      <w:proofErr w:type="spellStart"/>
      <w:proofErr w:type="gramStart"/>
      <w:r w:rsidRPr="00275A7A">
        <w:rPr>
          <w:rFonts w:ascii="Verdana" w:eastAsia="Times New Roman" w:hAnsi="Verdana" w:cs="Times New Roman"/>
          <w:color w:val="000000"/>
          <w:sz w:val="18"/>
          <w:szCs w:val="18"/>
        </w:rPr>
        <w:t>i</w:t>
      </w:r>
      <w:proofErr w:type="spellEnd"/>
      <w:proofErr w:type="gramEnd"/>
      <w:r w:rsidRPr="00275A7A">
        <w:rPr>
          <w:rFonts w:ascii="Verdana" w:eastAsia="Times New Roman" w:hAnsi="Verdana" w:cs="Times New Roman"/>
          <w:color w:val="000000"/>
          <w:sz w:val="18"/>
          <w:szCs w:val="18"/>
        </w:rPr>
        <w:t>)</w:t>
      </w:r>
    </w:p>
    <w:p w:rsidR="00275A7A" w:rsidRPr="00275A7A" w:rsidRDefault="00275A7A" w:rsidP="00275A7A">
      <w:pPr>
        <w:spacing w:after="0" w:line="240" w:lineRule="auto"/>
        <w:ind w:left="1134"/>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On the vesting date thus determined, the capital of the trust is to become the property of the capital beneficiaries set out in clause 1.3.1;</w:t>
      </w:r>
    </w:p>
    <w:p w:rsidR="00275A7A" w:rsidRPr="00275A7A" w:rsidRDefault="00275A7A" w:rsidP="00275A7A">
      <w:pPr>
        <w:spacing w:before="180" w:after="0" w:line="240" w:lineRule="auto"/>
        <w:ind w:left="1134" w:hanging="567"/>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(ii)</w:t>
      </w:r>
    </w:p>
    <w:p w:rsidR="00275A7A" w:rsidRPr="00275A7A" w:rsidRDefault="00275A7A" w:rsidP="00275A7A">
      <w:pPr>
        <w:spacing w:after="0" w:line="240" w:lineRule="auto"/>
        <w:ind w:left="1134"/>
        <w:jc w:val="both"/>
        <w:rPr>
          <w:rFonts w:ascii="Verdana" w:eastAsia="Times New Roman" w:hAnsi="Verdana" w:cs="Times New Roman"/>
          <w:color w:val="000000"/>
          <w:sz w:val="18"/>
          <w:szCs w:val="18"/>
        </w:rPr>
      </w:pPr>
      <w:proofErr w:type="gramStart"/>
      <w:r w:rsidRPr="00275A7A">
        <w:rPr>
          <w:rFonts w:ascii="Verdana" w:eastAsia="Times New Roman" w:hAnsi="Verdana" w:cs="Times New Roman"/>
          <w:color w:val="000000"/>
          <w:sz w:val="18"/>
          <w:szCs w:val="18"/>
        </w:rPr>
        <w:t>No capital not paid out</w:t>
      </w:r>
      <w:proofErr w:type="gramEnd"/>
      <w:r w:rsidRPr="00275A7A">
        <w:rPr>
          <w:rFonts w:ascii="Verdana" w:eastAsia="Times New Roman" w:hAnsi="Verdana" w:cs="Times New Roman"/>
          <w:color w:val="000000"/>
          <w:sz w:val="18"/>
          <w:szCs w:val="18"/>
        </w:rPr>
        <w:t xml:space="preserve"> or accumulated income will vest in any capital beneficiary before the capital beneficiaries reach the ages set out in clause 1.6.</w:t>
      </w:r>
    </w:p>
    <w:p w:rsidR="00275A7A" w:rsidRPr="00275A7A" w:rsidRDefault="00275A7A" w:rsidP="00275A7A">
      <w:pPr>
        <w:spacing w:before="180" w:after="0" w:line="240" w:lineRule="auto"/>
        <w:ind w:left="567" w:hanging="567"/>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(e)</w:t>
      </w:r>
    </w:p>
    <w:p w:rsidR="00275A7A" w:rsidRPr="00275A7A" w:rsidRDefault="00275A7A" w:rsidP="00275A7A">
      <w:pPr>
        <w:spacing w:after="0" w:line="240" w:lineRule="auto"/>
        <w:ind w:left="567"/>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 xml:space="preserve">Typical of a discretionary trust, clauses 5 and 6 bestowed wide powers on the trustees with regard to the capital assets of the trust. These were limited, in essence, only by the general restrictions that the trustees should exercise their powers in accordance with the general principles of trust law and solely for the benefit of the beneficiaries. Within these broad parameters, the trustees were </w:t>
      </w:r>
      <w:proofErr w:type="spellStart"/>
      <w:r w:rsidRPr="00275A7A">
        <w:rPr>
          <w:rFonts w:ascii="Verdana" w:eastAsia="Times New Roman" w:hAnsi="Verdana" w:cs="Times New Roman"/>
          <w:color w:val="000000"/>
          <w:sz w:val="18"/>
          <w:szCs w:val="18"/>
        </w:rPr>
        <w:t>authorised</w:t>
      </w:r>
      <w:proofErr w:type="spellEnd"/>
      <w:r w:rsidRPr="00275A7A">
        <w:rPr>
          <w:rFonts w:ascii="Verdana" w:eastAsia="Times New Roman" w:hAnsi="Verdana" w:cs="Times New Roman"/>
          <w:color w:val="000000"/>
          <w:sz w:val="18"/>
          <w:szCs w:val="18"/>
        </w:rPr>
        <w:t>, for example, to sell the assets of the trust and to invest the proceeds in any way they deemed fit.</w:t>
      </w:r>
    </w:p>
    <w:p w:rsidR="00275A7A" w:rsidRPr="00275A7A" w:rsidRDefault="00275A7A" w:rsidP="00275A7A">
      <w:pPr>
        <w:spacing w:before="180" w:after="0" w:line="240" w:lineRule="auto"/>
        <w:ind w:left="567" w:hanging="567"/>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(f)</w:t>
      </w:r>
    </w:p>
    <w:p w:rsidR="00275A7A" w:rsidRPr="00275A7A" w:rsidRDefault="00275A7A" w:rsidP="00275A7A">
      <w:pPr>
        <w:spacing w:after="0" w:line="240" w:lineRule="auto"/>
        <w:ind w:left="567"/>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 xml:space="preserve">Clauses 12 and 14 afforded similar wide powers to the trustees with regard to the income of the trust. Again, within the same broad parameters, they </w:t>
      </w:r>
    </w:p>
    <w:p w:rsidR="00275A7A" w:rsidRPr="00275A7A" w:rsidRDefault="00275A7A" w:rsidP="00275A7A">
      <w:pPr>
        <w:spacing w:before="360" w:after="0" w:line="240" w:lineRule="auto"/>
        <w:rPr>
          <w:rFonts w:ascii="Verdana" w:eastAsia="Times New Roman" w:hAnsi="Verdana" w:cs="Times New Roman"/>
          <w:b/>
          <w:bCs/>
          <w:color w:val="000000"/>
          <w:sz w:val="16"/>
          <w:szCs w:val="16"/>
        </w:rPr>
      </w:pPr>
      <w:r w:rsidRPr="00275A7A">
        <w:rPr>
          <w:rFonts w:ascii="Verdana" w:eastAsia="Times New Roman" w:hAnsi="Verdana" w:cs="Times New Roman"/>
          <w:b/>
          <w:bCs/>
          <w:color w:val="000000"/>
          <w:sz w:val="16"/>
          <w:szCs w:val="16"/>
        </w:rPr>
        <w:t>Page 6 of [2011] JOL 27892 (SCA)</w:t>
      </w:r>
    </w:p>
    <w:p w:rsidR="00275A7A" w:rsidRPr="00275A7A" w:rsidRDefault="00275A7A" w:rsidP="00275A7A">
      <w:pPr>
        <w:spacing w:before="180" w:after="0" w:line="240" w:lineRule="auto"/>
        <w:ind w:left="567"/>
        <w:jc w:val="both"/>
        <w:rPr>
          <w:rFonts w:ascii="Verdana" w:eastAsia="Times New Roman" w:hAnsi="Verdana" w:cs="Times New Roman"/>
          <w:color w:val="000000"/>
          <w:sz w:val="18"/>
          <w:szCs w:val="18"/>
        </w:rPr>
      </w:pPr>
      <w:proofErr w:type="gramStart"/>
      <w:r w:rsidRPr="00275A7A">
        <w:rPr>
          <w:rFonts w:ascii="Verdana" w:eastAsia="Times New Roman" w:hAnsi="Verdana" w:cs="Times New Roman"/>
          <w:color w:val="000000"/>
          <w:sz w:val="18"/>
          <w:szCs w:val="18"/>
        </w:rPr>
        <w:t>were</w:t>
      </w:r>
      <w:proofErr w:type="gramEnd"/>
      <w:r w:rsidRPr="00275A7A">
        <w:rPr>
          <w:rFonts w:ascii="Verdana" w:eastAsia="Times New Roman" w:hAnsi="Verdana" w:cs="Times New Roman"/>
          <w:color w:val="000000"/>
          <w:sz w:val="18"/>
          <w:szCs w:val="18"/>
        </w:rPr>
        <w:t xml:space="preserve"> </w:t>
      </w:r>
      <w:proofErr w:type="spellStart"/>
      <w:r w:rsidRPr="00275A7A">
        <w:rPr>
          <w:rFonts w:ascii="Verdana" w:eastAsia="Times New Roman" w:hAnsi="Verdana" w:cs="Times New Roman"/>
          <w:color w:val="000000"/>
          <w:sz w:val="18"/>
          <w:szCs w:val="18"/>
        </w:rPr>
        <w:t>authorised</w:t>
      </w:r>
      <w:proofErr w:type="spellEnd"/>
      <w:r w:rsidRPr="00275A7A">
        <w:rPr>
          <w:rFonts w:ascii="Verdana" w:eastAsia="Times New Roman" w:hAnsi="Verdana" w:cs="Times New Roman"/>
          <w:color w:val="000000"/>
          <w:sz w:val="18"/>
          <w:szCs w:val="18"/>
        </w:rPr>
        <w:t xml:space="preserve"> to </w:t>
      </w:r>
      <w:proofErr w:type="spellStart"/>
      <w:r w:rsidRPr="00275A7A">
        <w:rPr>
          <w:rFonts w:ascii="Verdana" w:eastAsia="Times New Roman" w:hAnsi="Verdana" w:cs="Times New Roman"/>
          <w:color w:val="000000"/>
          <w:sz w:val="18"/>
          <w:szCs w:val="18"/>
        </w:rPr>
        <w:t>utilise</w:t>
      </w:r>
      <w:proofErr w:type="spellEnd"/>
      <w:r w:rsidRPr="00275A7A">
        <w:rPr>
          <w:rFonts w:ascii="Verdana" w:eastAsia="Times New Roman" w:hAnsi="Verdana" w:cs="Times New Roman"/>
          <w:color w:val="000000"/>
          <w:sz w:val="18"/>
          <w:szCs w:val="18"/>
        </w:rPr>
        <w:t xml:space="preserve"> the trust income for trust purposes and to distribute the surplus amongst the income beneficiaries in any way they deemed fit.</w:t>
      </w:r>
    </w:p>
    <w:p w:rsidR="00275A7A" w:rsidRPr="00275A7A" w:rsidRDefault="00275A7A" w:rsidP="00275A7A">
      <w:pPr>
        <w:spacing w:before="180" w:after="0" w:line="240" w:lineRule="auto"/>
        <w:ind w:left="567" w:hanging="567"/>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(g)</w:t>
      </w:r>
    </w:p>
    <w:p w:rsidR="00275A7A" w:rsidRPr="00275A7A" w:rsidRDefault="00275A7A" w:rsidP="00275A7A">
      <w:pPr>
        <w:spacing w:after="0" w:line="240" w:lineRule="auto"/>
        <w:ind w:left="567"/>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Clause 21 dealt with amendments to the trust deed with specific reference to the capital beneficiaries. It provided:</w:t>
      </w:r>
    </w:p>
    <w:p w:rsidR="00275A7A" w:rsidRPr="00275A7A" w:rsidRDefault="00275A7A" w:rsidP="00275A7A">
      <w:pPr>
        <w:spacing w:before="180" w:after="0" w:line="240" w:lineRule="auto"/>
        <w:ind w:left="1247" w:right="567" w:hanging="680"/>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"21.1</w:t>
      </w:r>
    </w:p>
    <w:p w:rsidR="00275A7A" w:rsidRPr="00275A7A" w:rsidRDefault="00275A7A" w:rsidP="00275A7A">
      <w:pPr>
        <w:spacing w:after="0" w:line="240" w:lineRule="auto"/>
        <w:ind w:left="1247" w:right="567"/>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The trustees may amend the capital beneficiaries of the trust. Their right to amend is, however, limited to the extent that:</w:t>
      </w:r>
    </w:p>
    <w:p w:rsidR="00275A7A" w:rsidRPr="00275A7A" w:rsidRDefault="00275A7A" w:rsidP="00275A7A">
      <w:pPr>
        <w:spacing w:before="180" w:after="0" w:line="240" w:lineRule="auto"/>
        <w:ind w:left="1814" w:right="567" w:hanging="680"/>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21.1.1</w:t>
      </w:r>
    </w:p>
    <w:p w:rsidR="00275A7A" w:rsidRPr="00275A7A" w:rsidRDefault="00275A7A" w:rsidP="00275A7A">
      <w:pPr>
        <w:spacing w:after="0" w:line="240" w:lineRule="auto"/>
        <w:ind w:left="1814" w:right="567"/>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No amendment may be executed after the death of the trustee [the deceased] and only with the consent of [the deceased] during his lifetime; and</w:t>
      </w:r>
    </w:p>
    <w:p w:rsidR="00275A7A" w:rsidRPr="00275A7A" w:rsidRDefault="00275A7A" w:rsidP="00275A7A">
      <w:pPr>
        <w:spacing w:before="180" w:after="0" w:line="240" w:lineRule="auto"/>
        <w:ind w:left="1814" w:right="567" w:hanging="680"/>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21.1.2</w:t>
      </w:r>
    </w:p>
    <w:p w:rsidR="00275A7A" w:rsidRPr="00275A7A" w:rsidRDefault="00275A7A" w:rsidP="00275A7A">
      <w:pPr>
        <w:spacing w:after="0" w:line="240" w:lineRule="auto"/>
        <w:ind w:left="1814" w:right="567"/>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Capital beneficiaries may be appointed only from the following persons:</w:t>
      </w:r>
    </w:p>
    <w:p w:rsidR="00275A7A" w:rsidRPr="00275A7A" w:rsidRDefault="00275A7A" w:rsidP="00275A7A">
      <w:pPr>
        <w:spacing w:before="180" w:after="0" w:line="240" w:lineRule="auto"/>
        <w:ind w:left="2552" w:right="567" w:hanging="851"/>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21.1.2.1</w:t>
      </w:r>
    </w:p>
    <w:p w:rsidR="00275A7A" w:rsidRPr="00275A7A" w:rsidRDefault="00275A7A" w:rsidP="00275A7A">
      <w:pPr>
        <w:spacing w:after="0" w:line="240" w:lineRule="auto"/>
        <w:ind w:left="2552" w:right="567"/>
        <w:jc w:val="both"/>
        <w:rPr>
          <w:rFonts w:ascii="Verdana" w:eastAsia="Times New Roman" w:hAnsi="Verdana" w:cs="Times New Roman"/>
          <w:color w:val="000000"/>
          <w:sz w:val="18"/>
          <w:szCs w:val="18"/>
        </w:rPr>
      </w:pPr>
      <w:proofErr w:type="gramStart"/>
      <w:r w:rsidRPr="00275A7A">
        <w:rPr>
          <w:rFonts w:ascii="Verdana" w:eastAsia="Times New Roman" w:hAnsi="Verdana" w:cs="Times New Roman"/>
          <w:color w:val="000000"/>
          <w:sz w:val="18"/>
          <w:szCs w:val="18"/>
        </w:rPr>
        <w:t>the</w:t>
      </w:r>
      <w:proofErr w:type="gramEnd"/>
      <w:r w:rsidRPr="00275A7A">
        <w:rPr>
          <w:rFonts w:ascii="Verdana" w:eastAsia="Times New Roman" w:hAnsi="Verdana" w:cs="Times New Roman"/>
          <w:color w:val="000000"/>
          <w:sz w:val="18"/>
          <w:szCs w:val="18"/>
        </w:rPr>
        <w:t xml:space="preserve"> persons nominated as capital beneficiaries in clause 1.3.1 or their children in the event that they die before the vesting of the capital;</w:t>
      </w:r>
    </w:p>
    <w:p w:rsidR="00275A7A" w:rsidRPr="00275A7A" w:rsidRDefault="00275A7A" w:rsidP="00275A7A">
      <w:pPr>
        <w:spacing w:before="180" w:after="0" w:line="240" w:lineRule="auto"/>
        <w:ind w:left="2552" w:right="567" w:hanging="851"/>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21.1.2.2</w:t>
      </w:r>
    </w:p>
    <w:p w:rsidR="00275A7A" w:rsidRPr="00275A7A" w:rsidRDefault="00275A7A" w:rsidP="00275A7A">
      <w:pPr>
        <w:spacing w:after="0" w:line="240" w:lineRule="auto"/>
        <w:ind w:left="2552" w:right="567"/>
        <w:jc w:val="both"/>
        <w:rPr>
          <w:rFonts w:ascii="Verdana" w:eastAsia="Times New Roman" w:hAnsi="Verdana" w:cs="Times New Roman"/>
          <w:color w:val="000000"/>
          <w:sz w:val="18"/>
          <w:szCs w:val="18"/>
        </w:rPr>
      </w:pPr>
      <w:proofErr w:type="gramStart"/>
      <w:r w:rsidRPr="00275A7A">
        <w:rPr>
          <w:rFonts w:ascii="Verdana" w:eastAsia="Times New Roman" w:hAnsi="Verdana" w:cs="Times New Roman"/>
          <w:color w:val="000000"/>
          <w:sz w:val="18"/>
          <w:szCs w:val="18"/>
        </w:rPr>
        <w:t>a</w:t>
      </w:r>
      <w:proofErr w:type="gramEnd"/>
      <w:r w:rsidRPr="00275A7A">
        <w:rPr>
          <w:rFonts w:ascii="Verdana" w:eastAsia="Times New Roman" w:hAnsi="Verdana" w:cs="Times New Roman"/>
          <w:color w:val="000000"/>
          <w:sz w:val="18"/>
          <w:szCs w:val="18"/>
        </w:rPr>
        <w:t xml:space="preserve"> member of the family or descendant of [the deceased].</w:t>
      </w:r>
    </w:p>
    <w:p w:rsidR="00275A7A" w:rsidRPr="00275A7A" w:rsidRDefault="00275A7A" w:rsidP="00275A7A">
      <w:pPr>
        <w:spacing w:before="180" w:after="0" w:line="240" w:lineRule="auto"/>
        <w:ind w:left="567" w:right="567"/>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This right of the trustees to amend the capital beneficiaries entails that the persons appointed as capital beneficiaries in terms of the provisions of clause 1.3.1 above can be excluded and another capital beneficiary can be appointed in accordance with the aforesaid procedure, in 21.1.</w:t>
      </w:r>
    </w:p>
    <w:p w:rsidR="00275A7A" w:rsidRPr="00275A7A" w:rsidRDefault="00275A7A" w:rsidP="00275A7A">
      <w:pPr>
        <w:spacing w:before="180" w:after="0" w:line="240" w:lineRule="auto"/>
        <w:ind w:left="1134" w:right="567" w:hanging="567"/>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21.2</w:t>
      </w:r>
    </w:p>
    <w:p w:rsidR="00275A7A" w:rsidRPr="00275A7A" w:rsidRDefault="00275A7A" w:rsidP="00275A7A">
      <w:pPr>
        <w:spacing w:after="0" w:line="240" w:lineRule="auto"/>
        <w:ind w:left="1134" w:right="567"/>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No amendment in respect of the capital beneficiaries may have the effect that the assets of the trust are used for the benefit of the founder of the trust (the deceased) or his estate."</w:t>
      </w:r>
    </w:p>
    <w:p w:rsidR="00275A7A" w:rsidRPr="00275A7A" w:rsidRDefault="00275A7A" w:rsidP="00275A7A">
      <w:pPr>
        <w:spacing w:before="180" w:after="0" w:line="240" w:lineRule="auto"/>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lastRenderedPageBreak/>
        <w:t>[6</w:t>
      </w:r>
      <w:proofErr w:type="gramStart"/>
      <w:r w:rsidRPr="00275A7A">
        <w:rPr>
          <w:rFonts w:ascii="Verdana" w:eastAsia="Times New Roman" w:hAnsi="Verdana" w:cs="Times New Roman"/>
          <w:color w:val="000000"/>
          <w:sz w:val="18"/>
          <w:szCs w:val="18"/>
        </w:rPr>
        <w:t>]  In</w:t>
      </w:r>
      <w:proofErr w:type="gramEnd"/>
      <w:r w:rsidRPr="00275A7A">
        <w:rPr>
          <w:rFonts w:ascii="Verdana" w:eastAsia="Times New Roman" w:hAnsi="Verdana" w:cs="Times New Roman"/>
          <w:color w:val="000000"/>
          <w:sz w:val="18"/>
          <w:szCs w:val="18"/>
        </w:rPr>
        <w:t xml:space="preserve"> June 1999, when the deceased founded the </w:t>
      </w:r>
      <w:proofErr w:type="spellStart"/>
      <w:r w:rsidRPr="00275A7A">
        <w:rPr>
          <w:rFonts w:ascii="Verdana" w:eastAsia="Times New Roman" w:hAnsi="Verdana" w:cs="Times New Roman"/>
          <w:color w:val="000000"/>
          <w:sz w:val="18"/>
          <w:szCs w:val="18"/>
        </w:rPr>
        <w:t>Buffelshoek</w:t>
      </w:r>
      <w:proofErr w:type="spellEnd"/>
      <w:r w:rsidRPr="00275A7A">
        <w:rPr>
          <w:rFonts w:ascii="Verdana" w:eastAsia="Times New Roman" w:hAnsi="Verdana" w:cs="Times New Roman"/>
          <w:color w:val="000000"/>
          <w:sz w:val="18"/>
          <w:szCs w:val="18"/>
        </w:rPr>
        <w:t xml:space="preserve"> </w:t>
      </w:r>
      <w:proofErr w:type="spellStart"/>
      <w:r w:rsidRPr="00275A7A">
        <w:rPr>
          <w:rFonts w:ascii="Verdana" w:eastAsia="Times New Roman" w:hAnsi="Verdana" w:cs="Times New Roman"/>
          <w:color w:val="000000"/>
          <w:sz w:val="18"/>
          <w:szCs w:val="18"/>
        </w:rPr>
        <w:t>Familie</w:t>
      </w:r>
      <w:proofErr w:type="spellEnd"/>
      <w:r w:rsidRPr="00275A7A">
        <w:rPr>
          <w:rFonts w:ascii="Verdana" w:eastAsia="Times New Roman" w:hAnsi="Verdana" w:cs="Times New Roman"/>
          <w:color w:val="000000"/>
          <w:sz w:val="18"/>
          <w:szCs w:val="18"/>
        </w:rPr>
        <w:t xml:space="preserve"> Trust, both the appellants were still minors and the deceased was married to their mother. On 11 September 2003 that marriage was, however, dissolved by a decree of divorce. The divorce was preceded by a drawn out and bitter dispute. Part of the conflict stemmed from a claim by the appellants' mother that the assets of the trust be regarded as the assets of the deceased for purposes of the divorce proceedings. This led to a meeting of the trustees and the capital beneficiaries of the trust on 18 August 2003 regarding the alienation of a trust asset to the mother of the appellants, to which I shall presently return.</w:t>
      </w:r>
    </w:p>
    <w:p w:rsidR="00275A7A" w:rsidRPr="00275A7A" w:rsidRDefault="00275A7A" w:rsidP="00275A7A">
      <w:pPr>
        <w:spacing w:before="360" w:after="0" w:line="240" w:lineRule="auto"/>
        <w:rPr>
          <w:rFonts w:ascii="Verdana" w:eastAsia="Times New Roman" w:hAnsi="Verdana" w:cs="Times New Roman"/>
          <w:b/>
          <w:bCs/>
          <w:color w:val="000000"/>
          <w:sz w:val="16"/>
          <w:szCs w:val="16"/>
        </w:rPr>
      </w:pPr>
      <w:r w:rsidRPr="00275A7A">
        <w:rPr>
          <w:rFonts w:ascii="Verdana" w:eastAsia="Times New Roman" w:hAnsi="Verdana" w:cs="Times New Roman"/>
          <w:b/>
          <w:bCs/>
          <w:color w:val="000000"/>
          <w:sz w:val="16"/>
          <w:szCs w:val="16"/>
        </w:rPr>
        <w:t>Page 7 of [2011] JOL 27892 (SCA)</w:t>
      </w:r>
    </w:p>
    <w:p w:rsidR="00275A7A" w:rsidRPr="00275A7A" w:rsidRDefault="00275A7A" w:rsidP="00275A7A">
      <w:pPr>
        <w:spacing w:before="180" w:after="0" w:line="240" w:lineRule="auto"/>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[7</w:t>
      </w:r>
      <w:proofErr w:type="gramStart"/>
      <w:r w:rsidRPr="00275A7A">
        <w:rPr>
          <w:rFonts w:ascii="Verdana" w:eastAsia="Times New Roman" w:hAnsi="Verdana" w:cs="Times New Roman"/>
          <w:color w:val="000000"/>
          <w:sz w:val="18"/>
          <w:szCs w:val="18"/>
        </w:rPr>
        <w:t>]  After</w:t>
      </w:r>
      <w:proofErr w:type="gramEnd"/>
      <w:r w:rsidRPr="00275A7A">
        <w:rPr>
          <w:rFonts w:ascii="Verdana" w:eastAsia="Times New Roman" w:hAnsi="Verdana" w:cs="Times New Roman"/>
          <w:color w:val="000000"/>
          <w:sz w:val="18"/>
          <w:szCs w:val="18"/>
        </w:rPr>
        <w:t xml:space="preserve"> the divorce, the deceased married the first respondent, </w:t>
      </w:r>
      <w:proofErr w:type="spellStart"/>
      <w:r w:rsidRPr="00275A7A">
        <w:rPr>
          <w:rFonts w:ascii="Verdana" w:eastAsia="Times New Roman" w:hAnsi="Verdana" w:cs="Times New Roman"/>
          <w:color w:val="000000"/>
          <w:sz w:val="18"/>
          <w:szCs w:val="18"/>
        </w:rPr>
        <w:t>Mrs</w:t>
      </w:r>
      <w:proofErr w:type="spellEnd"/>
      <w:r w:rsidRPr="00275A7A">
        <w:rPr>
          <w:rFonts w:ascii="Verdana" w:eastAsia="Times New Roman" w:hAnsi="Verdana" w:cs="Times New Roman"/>
          <w:color w:val="000000"/>
          <w:sz w:val="18"/>
          <w:szCs w:val="18"/>
        </w:rPr>
        <w:t xml:space="preserve"> Potgieter, on 22 November 2003. As I have indicated, the fourth and fifth respondents were born of her previous marriage. On 25 January 2006 </w:t>
      </w:r>
      <w:proofErr w:type="spellStart"/>
      <w:r w:rsidRPr="00275A7A">
        <w:rPr>
          <w:rFonts w:ascii="Verdana" w:eastAsia="Times New Roman" w:hAnsi="Verdana" w:cs="Times New Roman"/>
          <w:color w:val="000000"/>
          <w:sz w:val="18"/>
          <w:szCs w:val="18"/>
        </w:rPr>
        <w:t>Mrs</w:t>
      </w:r>
      <w:proofErr w:type="spellEnd"/>
      <w:r w:rsidRPr="00275A7A">
        <w:rPr>
          <w:rFonts w:ascii="Verdana" w:eastAsia="Times New Roman" w:hAnsi="Verdana" w:cs="Times New Roman"/>
          <w:color w:val="000000"/>
          <w:sz w:val="18"/>
          <w:szCs w:val="18"/>
        </w:rPr>
        <w:t xml:space="preserve"> Potgieter became the third trustee of the </w:t>
      </w:r>
      <w:proofErr w:type="spellStart"/>
      <w:r w:rsidRPr="00275A7A">
        <w:rPr>
          <w:rFonts w:ascii="Verdana" w:eastAsia="Times New Roman" w:hAnsi="Verdana" w:cs="Times New Roman"/>
          <w:color w:val="000000"/>
          <w:sz w:val="18"/>
          <w:szCs w:val="18"/>
        </w:rPr>
        <w:t>Buffelshoek</w:t>
      </w:r>
      <w:proofErr w:type="spellEnd"/>
      <w:r w:rsidRPr="00275A7A">
        <w:rPr>
          <w:rFonts w:ascii="Verdana" w:eastAsia="Times New Roman" w:hAnsi="Verdana" w:cs="Times New Roman"/>
          <w:color w:val="000000"/>
          <w:sz w:val="18"/>
          <w:szCs w:val="18"/>
        </w:rPr>
        <w:t xml:space="preserve"> Family Trust together with the deceased and </w:t>
      </w:r>
      <w:proofErr w:type="spellStart"/>
      <w:r w:rsidRPr="00275A7A">
        <w:rPr>
          <w:rFonts w:ascii="Verdana" w:eastAsia="Times New Roman" w:hAnsi="Verdana" w:cs="Times New Roman"/>
          <w:color w:val="000000"/>
          <w:sz w:val="18"/>
          <w:szCs w:val="18"/>
        </w:rPr>
        <w:t>Wessels</w:t>
      </w:r>
      <w:proofErr w:type="spellEnd"/>
      <w:r w:rsidRPr="00275A7A">
        <w:rPr>
          <w:rFonts w:ascii="Verdana" w:eastAsia="Times New Roman" w:hAnsi="Verdana" w:cs="Times New Roman"/>
          <w:color w:val="000000"/>
          <w:sz w:val="18"/>
          <w:szCs w:val="18"/>
        </w:rPr>
        <w:t>. This was the state of affairs when the impugned variation agreement was entered into on 21 February 2006.</w:t>
      </w:r>
    </w:p>
    <w:p w:rsidR="00275A7A" w:rsidRPr="00275A7A" w:rsidRDefault="00275A7A" w:rsidP="00275A7A">
      <w:pPr>
        <w:spacing w:before="180" w:after="0" w:line="240" w:lineRule="auto"/>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[8</w:t>
      </w:r>
      <w:proofErr w:type="gramStart"/>
      <w:r w:rsidRPr="00275A7A">
        <w:rPr>
          <w:rFonts w:ascii="Verdana" w:eastAsia="Times New Roman" w:hAnsi="Verdana" w:cs="Times New Roman"/>
          <w:color w:val="000000"/>
          <w:sz w:val="18"/>
          <w:szCs w:val="18"/>
        </w:rPr>
        <w:t>]  The</w:t>
      </w:r>
      <w:proofErr w:type="gramEnd"/>
      <w:r w:rsidRPr="00275A7A">
        <w:rPr>
          <w:rFonts w:ascii="Verdana" w:eastAsia="Times New Roman" w:hAnsi="Verdana" w:cs="Times New Roman"/>
          <w:color w:val="000000"/>
          <w:sz w:val="18"/>
          <w:szCs w:val="18"/>
        </w:rPr>
        <w:t xml:space="preserve"> variation agreement was a formal agreement between the founder and the trustees. The changes brought about to the original trust deed were substantial. In the main they comprised the following:</w:t>
      </w:r>
    </w:p>
    <w:p w:rsidR="00275A7A" w:rsidRPr="00275A7A" w:rsidRDefault="00275A7A" w:rsidP="00275A7A">
      <w:pPr>
        <w:spacing w:before="180" w:after="0" w:line="240" w:lineRule="auto"/>
        <w:ind w:left="567" w:hanging="567"/>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(a)</w:t>
      </w:r>
    </w:p>
    <w:p w:rsidR="00275A7A" w:rsidRPr="00275A7A" w:rsidRDefault="00275A7A" w:rsidP="00275A7A">
      <w:pPr>
        <w:spacing w:after="0" w:line="240" w:lineRule="auto"/>
        <w:ind w:left="567"/>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The name of the trust was amended to the VPJ Trust;</w:t>
      </w:r>
    </w:p>
    <w:p w:rsidR="00275A7A" w:rsidRPr="00275A7A" w:rsidRDefault="00275A7A" w:rsidP="00275A7A">
      <w:pPr>
        <w:spacing w:before="180" w:after="0" w:line="240" w:lineRule="auto"/>
        <w:ind w:left="567" w:hanging="567"/>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(b)</w:t>
      </w:r>
    </w:p>
    <w:p w:rsidR="00275A7A" w:rsidRPr="00275A7A" w:rsidRDefault="00275A7A" w:rsidP="00275A7A">
      <w:pPr>
        <w:spacing w:after="0" w:line="240" w:lineRule="auto"/>
        <w:ind w:left="567"/>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 xml:space="preserve">The appellants were no longer the only capital beneficiaries. They were reduced to members of a class of potential capital beneficiaries. Other members of the class included </w:t>
      </w:r>
      <w:proofErr w:type="spellStart"/>
      <w:r w:rsidRPr="00275A7A">
        <w:rPr>
          <w:rFonts w:ascii="Verdana" w:eastAsia="Times New Roman" w:hAnsi="Verdana" w:cs="Times New Roman"/>
          <w:color w:val="000000"/>
          <w:sz w:val="18"/>
          <w:szCs w:val="18"/>
        </w:rPr>
        <w:t>Mrs</w:t>
      </w:r>
      <w:proofErr w:type="spellEnd"/>
      <w:r w:rsidRPr="00275A7A">
        <w:rPr>
          <w:rFonts w:ascii="Verdana" w:eastAsia="Times New Roman" w:hAnsi="Verdana" w:cs="Times New Roman"/>
          <w:color w:val="000000"/>
          <w:sz w:val="18"/>
          <w:szCs w:val="18"/>
        </w:rPr>
        <w:t xml:space="preserve"> Potgieter and her two sons. In addition, the trustees were afforded the absolute discretion to select the actual capital beneficiaries from that class. Nothing therefore prevented the trustees from excluding the appellants altogether as beneficiaries of the trust;</w:t>
      </w:r>
    </w:p>
    <w:p w:rsidR="00275A7A" w:rsidRPr="00275A7A" w:rsidRDefault="00275A7A" w:rsidP="00275A7A">
      <w:pPr>
        <w:spacing w:before="180" w:after="0" w:line="240" w:lineRule="auto"/>
        <w:ind w:left="567" w:hanging="567"/>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(c)</w:t>
      </w:r>
    </w:p>
    <w:p w:rsidR="00275A7A" w:rsidRPr="00275A7A" w:rsidRDefault="00275A7A" w:rsidP="00275A7A">
      <w:pPr>
        <w:spacing w:after="0" w:line="240" w:lineRule="auto"/>
        <w:ind w:left="567"/>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The income beneficiaries of the trust were those selected by the trustees, in their absolute discretion, from the members of the same class;</w:t>
      </w:r>
    </w:p>
    <w:p w:rsidR="00275A7A" w:rsidRPr="00275A7A" w:rsidRDefault="00275A7A" w:rsidP="00275A7A">
      <w:pPr>
        <w:spacing w:before="180" w:after="0" w:line="240" w:lineRule="auto"/>
        <w:ind w:left="567" w:hanging="567"/>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(d)</w:t>
      </w:r>
    </w:p>
    <w:p w:rsidR="00275A7A" w:rsidRPr="00275A7A" w:rsidRDefault="00275A7A" w:rsidP="00275A7A">
      <w:pPr>
        <w:spacing w:after="0" w:line="240" w:lineRule="auto"/>
        <w:ind w:left="567"/>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The date on which the rights of capital beneficiaries would vest was amended to the extent that it was in the sole discretion of the trustees when rights would vest (if at all); and</w:t>
      </w:r>
    </w:p>
    <w:p w:rsidR="00275A7A" w:rsidRPr="00275A7A" w:rsidRDefault="00275A7A" w:rsidP="00275A7A">
      <w:pPr>
        <w:spacing w:before="180" w:after="0" w:line="240" w:lineRule="auto"/>
        <w:ind w:left="567" w:hanging="567"/>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(e)</w:t>
      </w:r>
    </w:p>
    <w:p w:rsidR="00275A7A" w:rsidRPr="00275A7A" w:rsidRDefault="00275A7A" w:rsidP="00275A7A">
      <w:pPr>
        <w:spacing w:after="0" w:line="240" w:lineRule="auto"/>
        <w:ind w:left="567"/>
        <w:jc w:val="both"/>
        <w:rPr>
          <w:rFonts w:ascii="Verdana" w:eastAsia="Times New Roman" w:hAnsi="Verdana" w:cs="Times New Roman"/>
          <w:color w:val="000000"/>
          <w:sz w:val="18"/>
          <w:szCs w:val="18"/>
        </w:rPr>
      </w:pPr>
      <w:proofErr w:type="spellStart"/>
      <w:r w:rsidRPr="00275A7A">
        <w:rPr>
          <w:rFonts w:ascii="Verdana" w:eastAsia="Times New Roman" w:hAnsi="Verdana" w:cs="Times New Roman"/>
          <w:color w:val="000000"/>
          <w:sz w:val="18"/>
          <w:szCs w:val="18"/>
        </w:rPr>
        <w:t>Wessels</w:t>
      </w:r>
      <w:proofErr w:type="spellEnd"/>
      <w:r w:rsidRPr="00275A7A">
        <w:rPr>
          <w:rFonts w:ascii="Verdana" w:eastAsia="Times New Roman" w:hAnsi="Verdana" w:cs="Times New Roman"/>
          <w:color w:val="000000"/>
          <w:sz w:val="18"/>
          <w:szCs w:val="18"/>
        </w:rPr>
        <w:t xml:space="preserve"> resigned as trustee. The Best Trust Company (</w:t>
      </w:r>
      <w:proofErr w:type="spellStart"/>
      <w:r w:rsidRPr="00275A7A">
        <w:rPr>
          <w:rFonts w:ascii="Verdana" w:eastAsia="Times New Roman" w:hAnsi="Verdana" w:cs="Times New Roman"/>
          <w:color w:val="000000"/>
          <w:sz w:val="18"/>
          <w:szCs w:val="18"/>
        </w:rPr>
        <w:t>Jhb</w:t>
      </w:r>
      <w:proofErr w:type="spellEnd"/>
      <w:r w:rsidRPr="00275A7A">
        <w:rPr>
          <w:rFonts w:ascii="Verdana" w:eastAsia="Times New Roman" w:hAnsi="Verdana" w:cs="Times New Roman"/>
          <w:color w:val="000000"/>
          <w:sz w:val="18"/>
          <w:szCs w:val="18"/>
        </w:rPr>
        <w:t xml:space="preserve">) (Pty) Ltd was appointed in his stead. To complete the picture – shortly thereafter the company, however, resigned and </w:t>
      </w:r>
      <w:proofErr w:type="spellStart"/>
      <w:r w:rsidRPr="00275A7A">
        <w:rPr>
          <w:rFonts w:ascii="Verdana" w:eastAsia="Times New Roman" w:hAnsi="Verdana" w:cs="Times New Roman"/>
          <w:color w:val="000000"/>
          <w:sz w:val="18"/>
          <w:szCs w:val="18"/>
        </w:rPr>
        <w:t>Wessels</w:t>
      </w:r>
      <w:proofErr w:type="spellEnd"/>
      <w:r w:rsidRPr="00275A7A">
        <w:rPr>
          <w:rFonts w:ascii="Verdana" w:eastAsia="Times New Roman" w:hAnsi="Verdana" w:cs="Times New Roman"/>
          <w:color w:val="000000"/>
          <w:sz w:val="18"/>
          <w:szCs w:val="18"/>
        </w:rPr>
        <w:t xml:space="preserve"> was reappointed in his capacity as trustee, together with the deceased and </w:t>
      </w:r>
      <w:proofErr w:type="spellStart"/>
      <w:r w:rsidRPr="00275A7A">
        <w:rPr>
          <w:rFonts w:ascii="Verdana" w:eastAsia="Times New Roman" w:hAnsi="Verdana" w:cs="Times New Roman"/>
          <w:color w:val="000000"/>
          <w:sz w:val="18"/>
          <w:szCs w:val="18"/>
        </w:rPr>
        <w:t>Mrs</w:t>
      </w:r>
      <w:proofErr w:type="spellEnd"/>
      <w:r w:rsidRPr="00275A7A">
        <w:rPr>
          <w:rFonts w:ascii="Verdana" w:eastAsia="Times New Roman" w:hAnsi="Verdana" w:cs="Times New Roman"/>
          <w:color w:val="000000"/>
          <w:sz w:val="18"/>
          <w:szCs w:val="18"/>
        </w:rPr>
        <w:t xml:space="preserve"> Potgieter.</w:t>
      </w:r>
    </w:p>
    <w:p w:rsidR="00275A7A" w:rsidRPr="00275A7A" w:rsidRDefault="00275A7A" w:rsidP="00275A7A">
      <w:pPr>
        <w:spacing w:before="180" w:after="0" w:line="240" w:lineRule="auto"/>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[9</w:t>
      </w:r>
      <w:proofErr w:type="gramStart"/>
      <w:r w:rsidRPr="00275A7A">
        <w:rPr>
          <w:rFonts w:ascii="Verdana" w:eastAsia="Times New Roman" w:hAnsi="Verdana" w:cs="Times New Roman"/>
          <w:color w:val="000000"/>
          <w:sz w:val="18"/>
          <w:szCs w:val="18"/>
        </w:rPr>
        <w:t>]  The</w:t>
      </w:r>
      <w:proofErr w:type="gramEnd"/>
      <w:r w:rsidRPr="00275A7A">
        <w:rPr>
          <w:rFonts w:ascii="Verdana" w:eastAsia="Times New Roman" w:hAnsi="Verdana" w:cs="Times New Roman"/>
          <w:color w:val="000000"/>
          <w:sz w:val="18"/>
          <w:szCs w:val="18"/>
        </w:rPr>
        <w:t xml:space="preserve"> appellants' first contention in the court </w:t>
      </w:r>
      <w:r w:rsidRPr="00275A7A">
        <w:rPr>
          <w:rFonts w:ascii="Verdana" w:eastAsia="Times New Roman" w:hAnsi="Verdana" w:cs="Times New Roman"/>
          <w:i/>
          <w:iCs/>
          <w:color w:val="000000"/>
          <w:sz w:val="18"/>
          <w:szCs w:val="18"/>
        </w:rPr>
        <w:t xml:space="preserve">a quo </w:t>
      </w:r>
      <w:r w:rsidRPr="00275A7A">
        <w:rPr>
          <w:rFonts w:ascii="Verdana" w:eastAsia="Times New Roman" w:hAnsi="Verdana" w:cs="Times New Roman"/>
          <w:color w:val="000000"/>
          <w:sz w:val="18"/>
          <w:szCs w:val="18"/>
        </w:rPr>
        <w:t xml:space="preserve">was that, apart from a variation in accordance with the provisions of clause 21 of the original trust deed, </w:t>
      </w:r>
    </w:p>
    <w:p w:rsidR="00275A7A" w:rsidRPr="00275A7A" w:rsidRDefault="00275A7A" w:rsidP="00275A7A">
      <w:pPr>
        <w:spacing w:before="360" w:after="0" w:line="240" w:lineRule="auto"/>
        <w:rPr>
          <w:rFonts w:ascii="Verdana" w:eastAsia="Times New Roman" w:hAnsi="Verdana" w:cs="Times New Roman"/>
          <w:b/>
          <w:bCs/>
          <w:color w:val="000000"/>
          <w:sz w:val="16"/>
          <w:szCs w:val="16"/>
        </w:rPr>
      </w:pPr>
      <w:r w:rsidRPr="00275A7A">
        <w:rPr>
          <w:rFonts w:ascii="Verdana" w:eastAsia="Times New Roman" w:hAnsi="Verdana" w:cs="Times New Roman"/>
          <w:b/>
          <w:bCs/>
          <w:color w:val="000000"/>
          <w:sz w:val="16"/>
          <w:szCs w:val="16"/>
        </w:rPr>
        <w:t>Page 8 of [2011] JOL 27892 (SCA)</w:t>
      </w:r>
    </w:p>
    <w:p w:rsidR="00275A7A" w:rsidRPr="00275A7A" w:rsidRDefault="00275A7A" w:rsidP="00275A7A">
      <w:pPr>
        <w:spacing w:before="180" w:after="0" w:line="240" w:lineRule="auto"/>
        <w:jc w:val="both"/>
        <w:rPr>
          <w:rFonts w:ascii="Verdana" w:eastAsia="Times New Roman" w:hAnsi="Verdana" w:cs="Times New Roman"/>
          <w:color w:val="000000"/>
          <w:sz w:val="18"/>
          <w:szCs w:val="18"/>
        </w:rPr>
      </w:pPr>
      <w:proofErr w:type="gramStart"/>
      <w:r w:rsidRPr="00275A7A">
        <w:rPr>
          <w:rFonts w:ascii="Verdana" w:eastAsia="Times New Roman" w:hAnsi="Verdana" w:cs="Times New Roman"/>
          <w:color w:val="000000"/>
          <w:sz w:val="18"/>
          <w:szCs w:val="18"/>
        </w:rPr>
        <w:t>the</w:t>
      </w:r>
      <w:proofErr w:type="gramEnd"/>
      <w:r w:rsidRPr="00275A7A">
        <w:rPr>
          <w:rFonts w:ascii="Verdana" w:eastAsia="Times New Roman" w:hAnsi="Verdana" w:cs="Times New Roman"/>
          <w:color w:val="000000"/>
          <w:sz w:val="18"/>
          <w:szCs w:val="18"/>
        </w:rPr>
        <w:t xml:space="preserve"> deed could only be changed with their consent as capital beneficiaries. Consequently, they further contended, the purported amendment to the trust deed on 21 February 2006 was invalid because it was neither in accordance with the provisions of clause 21, nor was it </w:t>
      </w:r>
      <w:proofErr w:type="gramStart"/>
      <w:r w:rsidRPr="00275A7A">
        <w:rPr>
          <w:rFonts w:ascii="Verdana" w:eastAsia="Times New Roman" w:hAnsi="Verdana" w:cs="Times New Roman"/>
          <w:color w:val="000000"/>
          <w:sz w:val="18"/>
          <w:szCs w:val="18"/>
        </w:rPr>
        <w:t>effected</w:t>
      </w:r>
      <w:proofErr w:type="gramEnd"/>
      <w:r w:rsidRPr="00275A7A">
        <w:rPr>
          <w:rFonts w:ascii="Verdana" w:eastAsia="Times New Roman" w:hAnsi="Verdana" w:cs="Times New Roman"/>
          <w:color w:val="000000"/>
          <w:sz w:val="18"/>
          <w:szCs w:val="18"/>
        </w:rPr>
        <w:t xml:space="preserve"> with their consent. The respondents admitted that the appellants did not consent to the variations brought about by the variation agreement and </w:t>
      </w:r>
      <w:proofErr w:type="gramStart"/>
      <w:r w:rsidRPr="00275A7A">
        <w:rPr>
          <w:rFonts w:ascii="Verdana" w:eastAsia="Times New Roman" w:hAnsi="Verdana" w:cs="Times New Roman"/>
          <w:color w:val="000000"/>
          <w:sz w:val="18"/>
          <w:szCs w:val="18"/>
        </w:rPr>
        <w:t>that,</w:t>
      </w:r>
      <w:proofErr w:type="gramEnd"/>
      <w:r w:rsidRPr="00275A7A">
        <w:rPr>
          <w:rFonts w:ascii="Verdana" w:eastAsia="Times New Roman" w:hAnsi="Verdana" w:cs="Times New Roman"/>
          <w:color w:val="000000"/>
          <w:sz w:val="18"/>
          <w:szCs w:val="18"/>
        </w:rPr>
        <w:t xml:space="preserve"> in fact, they had no knowledge of the agreement at the time. Their contention was, however, that the variation agreement was entered into before the appellants had accepted the benefits conferred upon them in terms of the original trust deed. Consequently, the respondents contended, the trust deed could, as a matter of law, be amended by agreement between the founder and the trustees without the co-operation of the appellants.</w:t>
      </w:r>
    </w:p>
    <w:p w:rsidR="00275A7A" w:rsidRPr="00275A7A" w:rsidRDefault="00275A7A" w:rsidP="00275A7A">
      <w:pPr>
        <w:spacing w:before="180" w:after="0" w:line="240" w:lineRule="auto"/>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lastRenderedPageBreak/>
        <w:t>[10</w:t>
      </w:r>
      <w:proofErr w:type="gramStart"/>
      <w:r w:rsidRPr="00275A7A">
        <w:rPr>
          <w:rFonts w:ascii="Verdana" w:eastAsia="Times New Roman" w:hAnsi="Verdana" w:cs="Times New Roman"/>
          <w:color w:val="000000"/>
          <w:sz w:val="18"/>
          <w:szCs w:val="18"/>
        </w:rPr>
        <w:t>]  The</w:t>
      </w:r>
      <w:proofErr w:type="gramEnd"/>
      <w:r w:rsidRPr="00275A7A">
        <w:rPr>
          <w:rFonts w:ascii="Verdana" w:eastAsia="Times New Roman" w:hAnsi="Verdana" w:cs="Times New Roman"/>
          <w:color w:val="000000"/>
          <w:sz w:val="18"/>
          <w:szCs w:val="18"/>
        </w:rPr>
        <w:t xml:space="preserve"> appellants, in turn, accepted the correctness of the legal proposition that the variation of a trust deed did not require the consent of beneficiaries who had not yet accepted the benefits conferred upon them. Their contention was, however, that as a matter of fact the benefits conferred upon them by the original trust deed had been accepted on their behalf by the deceased as their father and natural guardian as set out in the preamble to the trust deed. Moreover, so they alleged, the deceased (as founder) and the other trustees had acknowledged, at least by implication, that these benefits had previously been accepted on their behalf, by requiring their consent to the alienation of a trust asset at the meeting of 18 August 2003. The respondents disputed the correctness of both these factual allegations.</w:t>
      </w:r>
    </w:p>
    <w:p w:rsidR="00275A7A" w:rsidRPr="00275A7A" w:rsidRDefault="00275A7A" w:rsidP="00275A7A">
      <w:pPr>
        <w:spacing w:before="180" w:after="0" w:line="240" w:lineRule="auto"/>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[11</w:t>
      </w:r>
      <w:proofErr w:type="gramStart"/>
      <w:r w:rsidRPr="00275A7A">
        <w:rPr>
          <w:rFonts w:ascii="Verdana" w:eastAsia="Times New Roman" w:hAnsi="Verdana" w:cs="Times New Roman"/>
          <w:color w:val="000000"/>
          <w:sz w:val="18"/>
          <w:szCs w:val="18"/>
        </w:rPr>
        <w:t>]  Despite</w:t>
      </w:r>
      <w:proofErr w:type="gramEnd"/>
      <w:r w:rsidRPr="00275A7A">
        <w:rPr>
          <w:rFonts w:ascii="Verdana" w:eastAsia="Times New Roman" w:hAnsi="Verdana" w:cs="Times New Roman"/>
          <w:color w:val="000000"/>
          <w:sz w:val="18"/>
          <w:szCs w:val="18"/>
        </w:rPr>
        <w:t xml:space="preserve"> the respondents' objections, the court </w:t>
      </w:r>
      <w:r w:rsidRPr="00275A7A">
        <w:rPr>
          <w:rFonts w:ascii="Verdana" w:eastAsia="Times New Roman" w:hAnsi="Verdana" w:cs="Times New Roman"/>
          <w:i/>
          <w:iCs/>
          <w:color w:val="000000"/>
          <w:sz w:val="18"/>
          <w:szCs w:val="18"/>
        </w:rPr>
        <w:t xml:space="preserve">a quo </w:t>
      </w:r>
      <w:r w:rsidRPr="00275A7A">
        <w:rPr>
          <w:rFonts w:ascii="Verdana" w:eastAsia="Times New Roman" w:hAnsi="Verdana" w:cs="Times New Roman"/>
          <w:color w:val="000000"/>
          <w:sz w:val="18"/>
          <w:szCs w:val="18"/>
        </w:rPr>
        <w:t xml:space="preserve">decided both areas of factual dispute thus arising in </w:t>
      </w:r>
      <w:proofErr w:type="spellStart"/>
      <w:r w:rsidRPr="00275A7A">
        <w:rPr>
          <w:rFonts w:ascii="Verdana" w:eastAsia="Times New Roman" w:hAnsi="Verdana" w:cs="Times New Roman"/>
          <w:color w:val="000000"/>
          <w:sz w:val="18"/>
          <w:szCs w:val="18"/>
        </w:rPr>
        <w:t>favour</w:t>
      </w:r>
      <w:proofErr w:type="spellEnd"/>
      <w:r w:rsidRPr="00275A7A">
        <w:rPr>
          <w:rFonts w:ascii="Verdana" w:eastAsia="Times New Roman" w:hAnsi="Verdana" w:cs="Times New Roman"/>
          <w:color w:val="000000"/>
          <w:sz w:val="18"/>
          <w:szCs w:val="18"/>
        </w:rPr>
        <w:t xml:space="preserve"> of the appellants. As to the question whether the deceased accepted the benefits conferred upon the appellants in the trust deed, it held that acceptance to be established by the preamble to the trust deed. Moreover, the court agreed with the appellants' argument based on the minutes </w:t>
      </w:r>
    </w:p>
    <w:p w:rsidR="00275A7A" w:rsidRPr="00275A7A" w:rsidRDefault="00275A7A" w:rsidP="00275A7A">
      <w:pPr>
        <w:spacing w:before="360" w:after="0" w:line="240" w:lineRule="auto"/>
        <w:rPr>
          <w:rFonts w:ascii="Verdana" w:eastAsia="Times New Roman" w:hAnsi="Verdana" w:cs="Times New Roman"/>
          <w:b/>
          <w:bCs/>
          <w:color w:val="000000"/>
          <w:sz w:val="16"/>
          <w:szCs w:val="16"/>
        </w:rPr>
      </w:pPr>
      <w:r w:rsidRPr="00275A7A">
        <w:rPr>
          <w:rFonts w:ascii="Verdana" w:eastAsia="Times New Roman" w:hAnsi="Verdana" w:cs="Times New Roman"/>
          <w:b/>
          <w:bCs/>
          <w:color w:val="000000"/>
          <w:sz w:val="16"/>
          <w:szCs w:val="16"/>
        </w:rPr>
        <w:t>Page 9 of [2011] JOL 27892 (SCA)</w:t>
      </w:r>
    </w:p>
    <w:p w:rsidR="00275A7A" w:rsidRPr="00275A7A" w:rsidRDefault="00275A7A" w:rsidP="00275A7A">
      <w:pPr>
        <w:spacing w:before="180" w:after="0" w:line="240" w:lineRule="auto"/>
        <w:jc w:val="both"/>
        <w:rPr>
          <w:rFonts w:ascii="Verdana" w:eastAsia="Times New Roman" w:hAnsi="Verdana" w:cs="Times New Roman"/>
          <w:color w:val="000000"/>
          <w:sz w:val="18"/>
          <w:szCs w:val="18"/>
        </w:rPr>
      </w:pPr>
      <w:proofErr w:type="gramStart"/>
      <w:r w:rsidRPr="00275A7A">
        <w:rPr>
          <w:rFonts w:ascii="Verdana" w:eastAsia="Times New Roman" w:hAnsi="Verdana" w:cs="Times New Roman"/>
          <w:color w:val="000000"/>
          <w:sz w:val="18"/>
          <w:szCs w:val="18"/>
        </w:rPr>
        <w:t>of</w:t>
      </w:r>
      <w:proofErr w:type="gramEnd"/>
      <w:r w:rsidRPr="00275A7A">
        <w:rPr>
          <w:rFonts w:ascii="Verdana" w:eastAsia="Times New Roman" w:hAnsi="Verdana" w:cs="Times New Roman"/>
          <w:color w:val="000000"/>
          <w:sz w:val="18"/>
          <w:szCs w:val="18"/>
        </w:rPr>
        <w:t xml:space="preserve"> the meeting which was held on 18 August 2003. In the event, the court also agreed with the appellants' contention that, because of the acceptance of the trust benefits on their behalf, a variation of the trust deed outside the ambit of clause 21, could only be brought about with their consent. Consequently the court held that, in the absence of the appellants' consent, the purported amendment to the trust deed in terms of the agreement between the deceased and the trustees on 21 February 2006, was of no legal force and effect.</w:t>
      </w:r>
    </w:p>
    <w:p w:rsidR="00275A7A" w:rsidRPr="00275A7A" w:rsidRDefault="00275A7A" w:rsidP="00275A7A">
      <w:pPr>
        <w:spacing w:before="180" w:after="0" w:line="240" w:lineRule="auto"/>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[12</w:t>
      </w:r>
      <w:proofErr w:type="gramStart"/>
      <w:r w:rsidRPr="00275A7A">
        <w:rPr>
          <w:rFonts w:ascii="Verdana" w:eastAsia="Times New Roman" w:hAnsi="Verdana" w:cs="Times New Roman"/>
          <w:color w:val="000000"/>
          <w:sz w:val="18"/>
          <w:szCs w:val="18"/>
        </w:rPr>
        <w:t>]  Since</w:t>
      </w:r>
      <w:proofErr w:type="gramEnd"/>
      <w:r w:rsidRPr="00275A7A">
        <w:rPr>
          <w:rFonts w:ascii="Verdana" w:eastAsia="Times New Roman" w:hAnsi="Verdana" w:cs="Times New Roman"/>
          <w:color w:val="000000"/>
          <w:sz w:val="18"/>
          <w:szCs w:val="18"/>
        </w:rPr>
        <w:t xml:space="preserve"> the findings of the court </w:t>
      </w:r>
      <w:r w:rsidRPr="00275A7A">
        <w:rPr>
          <w:rFonts w:ascii="Verdana" w:eastAsia="Times New Roman" w:hAnsi="Verdana" w:cs="Times New Roman"/>
          <w:i/>
          <w:iCs/>
          <w:color w:val="000000"/>
          <w:sz w:val="18"/>
          <w:szCs w:val="18"/>
        </w:rPr>
        <w:t xml:space="preserve">a quo </w:t>
      </w:r>
      <w:r w:rsidRPr="00275A7A">
        <w:rPr>
          <w:rFonts w:ascii="Verdana" w:eastAsia="Times New Roman" w:hAnsi="Verdana" w:cs="Times New Roman"/>
          <w:color w:val="000000"/>
          <w:sz w:val="18"/>
          <w:szCs w:val="18"/>
        </w:rPr>
        <w:t xml:space="preserve">thus far are directly challenged in the cross-appeal, I shall return to them in due course. But before doing so, I propose to complete the chronicle of events by referring to the court's additional findings that gave rise to the main appeal. After acknowledging that its findings thus far would normally result in the implementation of the trust deed in its original form, the court </w:t>
      </w:r>
      <w:r w:rsidRPr="00275A7A">
        <w:rPr>
          <w:rFonts w:ascii="Verdana" w:eastAsia="Times New Roman" w:hAnsi="Verdana" w:cs="Times New Roman"/>
          <w:i/>
          <w:iCs/>
          <w:color w:val="000000"/>
          <w:sz w:val="18"/>
          <w:szCs w:val="18"/>
        </w:rPr>
        <w:t>a quo</w:t>
      </w:r>
      <w:r w:rsidRPr="00275A7A">
        <w:rPr>
          <w:rFonts w:ascii="Verdana" w:eastAsia="Times New Roman" w:hAnsi="Verdana" w:cs="Times New Roman"/>
          <w:color w:val="000000"/>
          <w:sz w:val="18"/>
          <w:szCs w:val="18"/>
        </w:rPr>
        <w:t xml:space="preserve">, as I have said, immediately proclaimed that result to be untenable. Implementation of the original trust deed, so the court reasoned, would mean that on the death of the deceased, all the assets of the trust would become vested in the two appellants to the total exclusion of </w:t>
      </w:r>
      <w:proofErr w:type="spellStart"/>
      <w:r w:rsidRPr="00275A7A">
        <w:rPr>
          <w:rFonts w:ascii="Verdana" w:eastAsia="Times New Roman" w:hAnsi="Verdana" w:cs="Times New Roman"/>
          <w:color w:val="000000"/>
          <w:sz w:val="18"/>
          <w:szCs w:val="18"/>
        </w:rPr>
        <w:t>Mrs</w:t>
      </w:r>
      <w:proofErr w:type="spellEnd"/>
      <w:r w:rsidRPr="00275A7A">
        <w:rPr>
          <w:rFonts w:ascii="Verdana" w:eastAsia="Times New Roman" w:hAnsi="Verdana" w:cs="Times New Roman"/>
          <w:color w:val="000000"/>
          <w:sz w:val="18"/>
          <w:szCs w:val="18"/>
        </w:rPr>
        <w:t xml:space="preserve"> Potgieter and the two sons of her previous marriage.</w:t>
      </w:r>
    </w:p>
    <w:p w:rsidR="00275A7A" w:rsidRPr="00275A7A" w:rsidRDefault="00275A7A" w:rsidP="00275A7A">
      <w:pPr>
        <w:spacing w:before="180" w:after="0" w:line="240" w:lineRule="auto"/>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[13</w:t>
      </w:r>
      <w:proofErr w:type="gramStart"/>
      <w:r w:rsidRPr="00275A7A">
        <w:rPr>
          <w:rFonts w:ascii="Verdana" w:eastAsia="Times New Roman" w:hAnsi="Verdana" w:cs="Times New Roman"/>
          <w:color w:val="000000"/>
          <w:sz w:val="18"/>
          <w:szCs w:val="18"/>
        </w:rPr>
        <w:t>]  This</w:t>
      </w:r>
      <w:proofErr w:type="gramEnd"/>
      <w:r w:rsidRPr="00275A7A">
        <w:rPr>
          <w:rFonts w:ascii="Verdana" w:eastAsia="Times New Roman" w:hAnsi="Verdana" w:cs="Times New Roman"/>
          <w:color w:val="000000"/>
          <w:sz w:val="18"/>
          <w:szCs w:val="18"/>
        </w:rPr>
        <w:t xml:space="preserve"> outcome, so the court held, would be in direct conflict with the obvious intention of the deceased as to the devolution of his assets upon his death. With regard to the deceased's intention, the court referred to the fact that the deceased had changed his will after the variation of the trust deed. Prior to the variation, his will in existence was one executed in February 2004. In terms of that will he bequeathed an amount of R1 million, together with his interest in a specified close corporation, to each of the appellants. The residue of his estate he left to a trust for the benefit of </w:t>
      </w:r>
      <w:proofErr w:type="spellStart"/>
      <w:r w:rsidRPr="00275A7A">
        <w:rPr>
          <w:rFonts w:ascii="Verdana" w:eastAsia="Times New Roman" w:hAnsi="Verdana" w:cs="Times New Roman"/>
          <w:color w:val="000000"/>
          <w:sz w:val="18"/>
          <w:szCs w:val="18"/>
        </w:rPr>
        <w:t>Mrs</w:t>
      </w:r>
      <w:proofErr w:type="spellEnd"/>
      <w:r w:rsidRPr="00275A7A">
        <w:rPr>
          <w:rFonts w:ascii="Verdana" w:eastAsia="Times New Roman" w:hAnsi="Verdana" w:cs="Times New Roman"/>
          <w:color w:val="000000"/>
          <w:sz w:val="18"/>
          <w:szCs w:val="18"/>
        </w:rPr>
        <w:t xml:space="preserve"> Potgieter and her two sons. Subsequent to the variation of the trust deed the deceased executed a new will on 6 June 2007. Apart from certain legacies to the deceased's employees, the new will provided for a bequest of all his assets to the VPJ Trust. Exclusion of </w:t>
      </w:r>
      <w:proofErr w:type="spellStart"/>
      <w:r w:rsidRPr="00275A7A">
        <w:rPr>
          <w:rFonts w:ascii="Verdana" w:eastAsia="Times New Roman" w:hAnsi="Verdana" w:cs="Times New Roman"/>
          <w:color w:val="000000"/>
          <w:sz w:val="18"/>
          <w:szCs w:val="18"/>
        </w:rPr>
        <w:t>Mrs</w:t>
      </w:r>
      <w:proofErr w:type="spellEnd"/>
      <w:r w:rsidRPr="00275A7A">
        <w:rPr>
          <w:rFonts w:ascii="Verdana" w:eastAsia="Times New Roman" w:hAnsi="Verdana" w:cs="Times New Roman"/>
          <w:color w:val="000000"/>
          <w:sz w:val="18"/>
          <w:szCs w:val="18"/>
        </w:rPr>
        <w:t xml:space="preserve"> Potgieter and </w:t>
      </w:r>
    </w:p>
    <w:p w:rsidR="00275A7A" w:rsidRPr="00275A7A" w:rsidRDefault="00275A7A" w:rsidP="00275A7A">
      <w:pPr>
        <w:spacing w:before="360" w:after="0" w:line="240" w:lineRule="auto"/>
        <w:rPr>
          <w:rFonts w:ascii="Verdana" w:eastAsia="Times New Roman" w:hAnsi="Verdana" w:cs="Times New Roman"/>
          <w:b/>
          <w:bCs/>
          <w:color w:val="000000"/>
          <w:sz w:val="16"/>
          <w:szCs w:val="16"/>
        </w:rPr>
      </w:pPr>
      <w:r w:rsidRPr="00275A7A">
        <w:rPr>
          <w:rFonts w:ascii="Verdana" w:eastAsia="Times New Roman" w:hAnsi="Verdana" w:cs="Times New Roman"/>
          <w:b/>
          <w:bCs/>
          <w:color w:val="000000"/>
          <w:sz w:val="16"/>
          <w:szCs w:val="16"/>
        </w:rPr>
        <w:t>Page 10 of [2011] JOL 27892 (SCA)</w:t>
      </w:r>
    </w:p>
    <w:p w:rsidR="00275A7A" w:rsidRPr="00275A7A" w:rsidRDefault="00275A7A" w:rsidP="00275A7A">
      <w:pPr>
        <w:spacing w:before="180" w:after="0" w:line="240" w:lineRule="auto"/>
        <w:jc w:val="both"/>
        <w:rPr>
          <w:rFonts w:ascii="Verdana" w:eastAsia="Times New Roman" w:hAnsi="Verdana" w:cs="Times New Roman"/>
          <w:color w:val="000000"/>
          <w:sz w:val="18"/>
          <w:szCs w:val="18"/>
        </w:rPr>
      </w:pPr>
      <w:proofErr w:type="gramStart"/>
      <w:r w:rsidRPr="00275A7A">
        <w:rPr>
          <w:rFonts w:ascii="Verdana" w:eastAsia="Times New Roman" w:hAnsi="Verdana" w:cs="Times New Roman"/>
          <w:color w:val="000000"/>
          <w:sz w:val="18"/>
          <w:szCs w:val="18"/>
        </w:rPr>
        <w:t>her</w:t>
      </w:r>
      <w:proofErr w:type="gramEnd"/>
      <w:r w:rsidRPr="00275A7A">
        <w:rPr>
          <w:rFonts w:ascii="Verdana" w:eastAsia="Times New Roman" w:hAnsi="Verdana" w:cs="Times New Roman"/>
          <w:color w:val="000000"/>
          <w:sz w:val="18"/>
          <w:szCs w:val="18"/>
        </w:rPr>
        <w:t xml:space="preserve"> sons from the trust, so the court </w:t>
      </w:r>
      <w:r w:rsidRPr="00275A7A">
        <w:rPr>
          <w:rFonts w:ascii="Verdana" w:eastAsia="Times New Roman" w:hAnsi="Verdana" w:cs="Times New Roman"/>
          <w:i/>
          <w:iCs/>
          <w:color w:val="000000"/>
          <w:sz w:val="18"/>
          <w:szCs w:val="18"/>
        </w:rPr>
        <w:t xml:space="preserve">a quo </w:t>
      </w:r>
      <w:r w:rsidRPr="00275A7A">
        <w:rPr>
          <w:rFonts w:ascii="Verdana" w:eastAsia="Times New Roman" w:hAnsi="Verdana" w:cs="Times New Roman"/>
          <w:color w:val="000000"/>
          <w:sz w:val="18"/>
          <w:szCs w:val="18"/>
        </w:rPr>
        <w:t>concluded, would therefore effectively exclude them from any benefit deriving from the deceased's estate.</w:t>
      </w:r>
    </w:p>
    <w:p w:rsidR="00275A7A" w:rsidRPr="00275A7A" w:rsidRDefault="00275A7A" w:rsidP="00275A7A">
      <w:pPr>
        <w:spacing w:before="180" w:after="0" w:line="240" w:lineRule="auto"/>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[14</w:t>
      </w:r>
      <w:proofErr w:type="gramStart"/>
      <w:r w:rsidRPr="00275A7A">
        <w:rPr>
          <w:rFonts w:ascii="Verdana" w:eastAsia="Times New Roman" w:hAnsi="Verdana" w:cs="Times New Roman"/>
          <w:color w:val="000000"/>
          <w:sz w:val="18"/>
          <w:szCs w:val="18"/>
        </w:rPr>
        <w:t>]  Since</w:t>
      </w:r>
      <w:proofErr w:type="gramEnd"/>
      <w:r w:rsidRPr="00275A7A">
        <w:rPr>
          <w:rFonts w:ascii="Verdana" w:eastAsia="Times New Roman" w:hAnsi="Verdana" w:cs="Times New Roman"/>
          <w:color w:val="000000"/>
          <w:sz w:val="18"/>
          <w:szCs w:val="18"/>
        </w:rPr>
        <w:t xml:space="preserve"> enforcement of the trust deed in its original terms would be demonstrably in conflict with the deceased's intent, so the court </w:t>
      </w:r>
      <w:r w:rsidRPr="00275A7A">
        <w:rPr>
          <w:rFonts w:ascii="Verdana" w:eastAsia="Times New Roman" w:hAnsi="Verdana" w:cs="Times New Roman"/>
          <w:i/>
          <w:iCs/>
          <w:color w:val="000000"/>
          <w:sz w:val="18"/>
          <w:szCs w:val="18"/>
        </w:rPr>
        <w:t xml:space="preserve">a quo </w:t>
      </w:r>
      <w:r w:rsidRPr="00275A7A">
        <w:rPr>
          <w:rFonts w:ascii="Verdana" w:eastAsia="Times New Roman" w:hAnsi="Verdana" w:cs="Times New Roman"/>
          <w:color w:val="000000"/>
          <w:sz w:val="18"/>
          <w:szCs w:val="18"/>
        </w:rPr>
        <w:t xml:space="preserve">reasoned, it should have the authority to avoid that result. It then found that authority originating from two different sources: first, from the provisions of section 13 of the Trust Property Control Act 57 of 1988; and, second, from the values of the Constitution as applied to the principles of contract law and other private law structures, in accordance with the judgment of the constitutional court in </w:t>
      </w:r>
      <w:proofErr w:type="spellStart"/>
      <w:r w:rsidRPr="00275A7A">
        <w:rPr>
          <w:rFonts w:ascii="Verdana" w:eastAsia="Times New Roman" w:hAnsi="Verdana" w:cs="Times New Roman"/>
          <w:i/>
          <w:iCs/>
          <w:color w:val="000000"/>
          <w:sz w:val="18"/>
          <w:szCs w:val="18"/>
        </w:rPr>
        <w:t>Barkhuizen</w:t>
      </w:r>
      <w:proofErr w:type="spellEnd"/>
      <w:r w:rsidRPr="00275A7A">
        <w:rPr>
          <w:rFonts w:ascii="Verdana" w:eastAsia="Times New Roman" w:hAnsi="Verdana" w:cs="Times New Roman"/>
          <w:i/>
          <w:iCs/>
          <w:color w:val="000000"/>
          <w:sz w:val="18"/>
          <w:szCs w:val="18"/>
        </w:rPr>
        <w:t xml:space="preserve"> v Napier </w:t>
      </w:r>
      <w:r w:rsidRPr="00275A7A">
        <w:rPr>
          <w:rFonts w:ascii="Verdana" w:eastAsia="Times New Roman" w:hAnsi="Verdana" w:cs="Times New Roman"/>
          <w:color w:val="000000"/>
          <w:sz w:val="18"/>
          <w:szCs w:val="18"/>
        </w:rPr>
        <w:t xml:space="preserve">2007 (5) SA 323 (CC) [also reported at </w:t>
      </w:r>
      <w:hyperlink r:id="rId5" w:anchor="g0" w:history="1">
        <w:r w:rsidRPr="00275A7A">
          <w:rPr>
            <w:rFonts w:ascii="Verdana" w:eastAsia="Times New Roman" w:hAnsi="Verdana" w:cs="Times New Roman"/>
            <w:color w:val="008000"/>
            <w:sz w:val="18"/>
            <w:szCs w:val="18"/>
            <w:u w:val="single"/>
          </w:rPr>
          <w:t>2007 (7) BCLR 691 (CC)</w:t>
        </w:r>
      </w:hyperlink>
      <w:r w:rsidRPr="00275A7A">
        <w:rPr>
          <w:rFonts w:ascii="Verdana" w:eastAsia="Times New Roman" w:hAnsi="Verdana" w:cs="Times New Roman"/>
          <w:color w:val="000000"/>
          <w:sz w:val="18"/>
          <w:szCs w:val="18"/>
        </w:rPr>
        <w:t xml:space="preserve"> – Ed]. Relying on its authority thus established, the court </w:t>
      </w:r>
      <w:r w:rsidRPr="00275A7A">
        <w:rPr>
          <w:rFonts w:ascii="Verdana" w:eastAsia="Times New Roman" w:hAnsi="Verdana" w:cs="Times New Roman"/>
          <w:i/>
          <w:iCs/>
          <w:color w:val="000000"/>
          <w:sz w:val="18"/>
          <w:szCs w:val="18"/>
        </w:rPr>
        <w:t xml:space="preserve">a quo </w:t>
      </w:r>
      <w:r w:rsidRPr="00275A7A">
        <w:rPr>
          <w:rFonts w:ascii="Verdana" w:eastAsia="Times New Roman" w:hAnsi="Verdana" w:cs="Times New Roman"/>
          <w:color w:val="000000"/>
          <w:sz w:val="18"/>
          <w:szCs w:val="18"/>
        </w:rPr>
        <w:t>concluded that it had the power to grant an order which would give effect to what it regarded as the real intent of the deceased.</w:t>
      </w:r>
    </w:p>
    <w:p w:rsidR="00275A7A" w:rsidRPr="00275A7A" w:rsidRDefault="00275A7A" w:rsidP="00275A7A">
      <w:pPr>
        <w:spacing w:before="180" w:after="0" w:line="240" w:lineRule="auto"/>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lastRenderedPageBreak/>
        <w:t>[15</w:t>
      </w:r>
      <w:proofErr w:type="gramStart"/>
      <w:r w:rsidRPr="00275A7A">
        <w:rPr>
          <w:rFonts w:ascii="Verdana" w:eastAsia="Times New Roman" w:hAnsi="Verdana" w:cs="Times New Roman"/>
          <w:color w:val="000000"/>
          <w:sz w:val="18"/>
          <w:szCs w:val="18"/>
        </w:rPr>
        <w:t>]  In</w:t>
      </w:r>
      <w:proofErr w:type="gramEnd"/>
      <w:r w:rsidRPr="00275A7A">
        <w:rPr>
          <w:rFonts w:ascii="Verdana" w:eastAsia="Times New Roman" w:hAnsi="Verdana" w:cs="Times New Roman"/>
          <w:color w:val="000000"/>
          <w:sz w:val="18"/>
          <w:szCs w:val="18"/>
        </w:rPr>
        <w:t xml:space="preserve"> broad outline the court </w:t>
      </w:r>
      <w:r w:rsidRPr="00275A7A">
        <w:rPr>
          <w:rFonts w:ascii="Verdana" w:eastAsia="Times New Roman" w:hAnsi="Verdana" w:cs="Times New Roman"/>
          <w:i/>
          <w:iCs/>
          <w:color w:val="000000"/>
          <w:sz w:val="18"/>
          <w:szCs w:val="18"/>
        </w:rPr>
        <w:t>a quo</w:t>
      </w:r>
      <w:r w:rsidRPr="00275A7A">
        <w:rPr>
          <w:rFonts w:ascii="Verdana" w:eastAsia="Times New Roman" w:hAnsi="Verdana" w:cs="Times New Roman"/>
          <w:color w:val="000000"/>
          <w:sz w:val="18"/>
          <w:szCs w:val="18"/>
        </w:rPr>
        <w:t>'s further reasoning, as appears from its judgment, proceeded along the following lines:</w:t>
      </w:r>
    </w:p>
    <w:p w:rsidR="00275A7A" w:rsidRPr="00275A7A" w:rsidRDefault="00275A7A" w:rsidP="00275A7A">
      <w:pPr>
        <w:spacing w:before="180" w:after="0" w:line="240" w:lineRule="auto"/>
        <w:ind w:left="567" w:hanging="567"/>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(a)</w:t>
      </w:r>
    </w:p>
    <w:p w:rsidR="00275A7A" w:rsidRPr="00275A7A" w:rsidRDefault="00275A7A" w:rsidP="00275A7A">
      <w:pPr>
        <w:spacing w:after="0" w:line="240" w:lineRule="auto"/>
        <w:ind w:left="567"/>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The obvious way of giving effect to the deceased's intent would be to implement the terms of the variation agreement, despite the legal invalidity of that agreement.</w:t>
      </w:r>
    </w:p>
    <w:p w:rsidR="00275A7A" w:rsidRPr="00275A7A" w:rsidRDefault="00275A7A" w:rsidP="00275A7A">
      <w:pPr>
        <w:spacing w:before="180" w:after="0" w:line="240" w:lineRule="auto"/>
        <w:ind w:left="567" w:hanging="567"/>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(b)</w:t>
      </w:r>
    </w:p>
    <w:p w:rsidR="00275A7A" w:rsidRPr="00275A7A" w:rsidRDefault="00275A7A" w:rsidP="00275A7A">
      <w:pPr>
        <w:spacing w:after="0" w:line="240" w:lineRule="auto"/>
        <w:ind w:left="567"/>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However, since the death of the deceased, the relationship between the appellants, on the one hand, and the first and second respondents as trustees of the trust, on the other, had deteriorated to the extent that the appellants have understandably lost any confidence in the willingness of the two trustees to treat them fairly and without partiality.</w:t>
      </w:r>
    </w:p>
    <w:p w:rsidR="00275A7A" w:rsidRPr="00275A7A" w:rsidRDefault="00275A7A" w:rsidP="00275A7A">
      <w:pPr>
        <w:spacing w:before="180" w:after="0" w:line="240" w:lineRule="auto"/>
        <w:ind w:left="567" w:hanging="567"/>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(c)</w:t>
      </w:r>
    </w:p>
    <w:p w:rsidR="00275A7A" w:rsidRPr="00275A7A" w:rsidRDefault="00275A7A" w:rsidP="00275A7A">
      <w:pPr>
        <w:spacing w:after="0" w:line="240" w:lineRule="auto"/>
        <w:ind w:left="567"/>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A refusal of the application by the appellants for an order declaring the variation of the trust deed invalid would therefore simply lead to further conflicts, strife and litigation between the two opposing factions.</w:t>
      </w:r>
    </w:p>
    <w:p w:rsidR="00275A7A" w:rsidRPr="00275A7A" w:rsidRDefault="00275A7A" w:rsidP="00275A7A">
      <w:pPr>
        <w:spacing w:before="180" w:after="0" w:line="240" w:lineRule="auto"/>
        <w:ind w:left="567" w:hanging="567"/>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(d)</w:t>
      </w:r>
    </w:p>
    <w:p w:rsidR="00275A7A" w:rsidRPr="00275A7A" w:rsidRDefault="00275A7A" w:rsidP="00275A7A">
      <w:pPr>
        <w:spacing w:after="0" w:line="240" w:lineRule="auto"/>
        <w:ind w:left="567"/>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 xml:space="preserve">The only equitable solution remaining was therefore to award one-fifth of the net value of the trust assets to each of the appellants and to order that the other potential beneficiaries retain their rights in terms of the amended trust </w:t>
      </w:r>
    </w:p>
    <w:p w:rsidR="00275A7A" w:rsidRPr="00275A7A" w:rsidRDefault="00275A7A" w:rsidP="00275A7A">
      <w:pPr>
        <w:spacing w:before="360" w:after="0" w:line="240" w:lineRule="auto"/>
        <w:rPr>
          <w:rFonts w:ascii="Verdana" w:eastAsia="Times New Roman" w:hAnsi="Verdana" w:cs="Times New Roman"/>
          <w:b/>
          <w:bCs/>
          <w:color w:val="000000"/>
          <w:sz w:val="16"/>
          <w:szCs w:val="16"/>
        </w:rPr>
      </w:pPr>
      <w:r w:rsidRPr="00275A7A">
        <w:rPr>
          <w:rFonts w:ascii="Verdana" w:eastAsia="Times New Roman" w:hAnsi="Verdana" w:cs="Times New Roman"/>
          <w:b/>
          <w:bCs/>
          <w:color w:val="000000"/>
          <w:sz w:val="16"/>
          <w:szCs w:val="16"/>
        </w:rPr>
        <w:t>Page 11 of [2011] JOL 27892 (SCA)</w:t>
      </w:r>
    </w:p>
    <w:p w:rsidR="00275A7A" w:rsidRPr="00275A7A" w:rsidRDefault="00275A7A" w:rsidP="00275A7A">
      <w:pPr>
        <w:spacing w:before="180" w:after="0" w:line="240" w:lineRule="auto"/>
        <w:ind w:left="567"/>
        <w:jc w:val="both"/>
        <w:rPr>
          <w:rFonts w:ascii="Verdana" w:eastAsia="Times New Roman" w:hAnsi="Verdana" w:cs="Times New Roman"/>
          <w:color w:val="000000"/>
          <w:sz w:val="18"/>
          <w:szCs w:val="18"/>
        </w:rPr>
      </w:pPr>
      <w:proofErr w:type="gramStart"/>
      <w:r w:rsidRPr="00275A7A">
        <w:rPr>
          <w:rFonts w:ascii="Verdana" w:eastAsia="Times New Roman" w:hAnsi="Verdana" w:cs="Times New Roman"/>
          <w:color w:val="000000"/>
          <w:sz w:val="18"/>
          <w:szCs w:val="18"/>
        </w:rPr>
        <w:t>deed</w:t>
      </w:r>
      <w:proofErr w:type="gramEnd"/>
      <w:r w:rsidRPr="00275A7A">
        <w:rPr>
          <w:rFonts w:ascii="Verdana" w:eastAsia="Times New Roman" w:hAnsi="Verdana" w:cs="Times New Roman"/>
          <w:color w:val="000000"/>
          <w:sz w:val="18"/>
          <w:szCs w:val="18"/>
        </w:rPr>
        <w:t>, with regard to the three-fifths of the trust assets that remained in the VPJ Trust.</w:t>
      </w:r>
    </w:p>
    <w:p w:rsidR="00275A7A" w:rsidRPr="00275A7A" w:rsidRDefault="00275A7A" w:rsidP="00275A7A">
      <w:pPr>
        <w:spacing w:before="180" w:after="0" w:line="240" w:lineRule="auto"/>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[16</w:t>
      </w:r>
      <w:proofErr w:type="gramStart"/>
      <w:r w:rsidRPr="00275A7A">
        <w:rPr>
          <w:rFonts w:ascii="Verdana" w:eastAsia="Times New Roman" w:hAnsi="Verdana" w:cs="Times New Roman"/>
          <w:color w:val="000000"/>
          <w:sz w:val="18"/>
          <w:szCs w:val="18"/>
        </w:rPr>
        <w:t>]  In</w:t>
      </w:r>
      <w:proofErr w:type="gramEnd"/>
      <w:r w:rsidRPr="00275A7A">
        <w:rPr>
          <w:rFonts w:ascii="Verdana" w:eastAsia="Times New Roman" w:hAnsi="Verdana" w:cs="Times New Roman"/>
          <w:color w:val="000000"/>
          <w:sz w:val="18"/>
          <w:szCs w:val="18"/>
        </w:rPr>
        <w:t xml:space="preserve"> giving effect to these conclusions, the court </w:t>
      </w:r>
      <w:r w:rsidRPr="00275A7A">
        <w:rPr>
          <w:rFonts w:ascii="Verdana" w:eastAsia="Times New Roman" w:hAnsi="Verdana" w:cs="Times New Roman"/>
          <w:i/>
          <w:iCs/>
          <w:color w:val="000000"/>
          <w:sz w:val="18"/>
          <w:szCs w:val="18"/>
        </w:rPr>
        <w:t xml:space="preserve">a quo </w:t>
      </w:r>
      <w:r w:rsidRPr="00275A7A">
        <w:rPr>
          <w:rFonts w:ascii="Verdana" w:eastAsia="Times New Roman" w:hAnsi="Verdana" w:cs="Times New Roman"/>
          <w:color w:val="000000"/>
          <w:sz w:val="18"/>
          <w:szCs w:val="18"/>
        </w:rPr>
        <w:t xml:space="preserve">then formulated a fairly detailed order providing, </w:t>
      </w:r>
      <w:r w:rsidRPr="00275A7A">
        <w:rPr>
          <w:rFonts w:ascii="Verdana" w:eastAsia="Times New Roman" w:hAnsi="Verdana" w:cs="Times New Roman"/>
          <w:i/>
          <w:iCs/>
          <w:color w:val="000000"/>
          <w:sz w:val="18"/>
          <w:szCs w:val="18"/>
        </w:rPr>
        <w:t>inter alia</w:t>
      </w:r>
      <w:r w:rsidRPr="00275A7A">
        <w:rPr>
          <w:rFonts w:ascii="Verdana" w:eastAsia="Times New Roman" w:hAnsi="Verdana" w:cs="Times New Roman"/>
          <w:color w:val="000000"/>
          <w:sz w:val="18"/>
          <w:szCs w:val="18"/>
        </w:rPr>
        <w:t xml:space="preserve">, for the valuation of the trust assets and for the appointment of a </w:t>
      </w:r>
      <w:proofErr w:type="spellStart"/>
      <w:r w:rsidRPr="00275A7A">
        <w:rPr>
          <w:rFonts w:ascii="Verdana" w:eastAsia="Times New Roman" w:hAnsi="Verdana" w:cs="Times New Roman"/>
          <w:color w:val="000000"/>
          <w:sz w:val="18"/>
          <w:szCs w:val="18"/>
        </w:rPr>
        <w:t>valuer</w:t>
      </w:r>
      <w:proofErr w:type="spellEnd"/>
      <w:r w:rsidRPr="00275A7A">
        <w:rPr>
          <w:rFonts w:ascii="Verdana" w:eastAsia="Times New Roman" w:hAnsi="Verdana" w:cs="Times New Roman"/>
          <w:color w:val="000000"/>
          <w:sz w:val="18"/>
          <w:szCs w:val="18"/>
        </w:rPr>
        <w:t xml:space="preserve"> or an auditor, or both, for this purpose, and for the division of the assets of the trust. As to the costs of the proceedings before it, the court </w:t>
      </w:r>
      <w:r w:rsidRPr="00275A7A">
        <w:rPr>
          <w:rFonts w:ascii="Verdana" w:eastAsia="Times New Roman" w:hAnsi="Verdana" w:cs="Times New Roman"/>
          <w:i/>
          <w:iCs/>
          <w:color w:val="000000"/>
          <w:sz w:val="18"/>
          <w:szCs w:val="18"/>
        </w:rPr>
        <w:t xml:space="preserve">a quo </w:t>
      </w:r>
      <w:r w:rsidRPr="00275A7A">
        <w:rPr>
          <w:rFonts w:ascii="Verdana" w:eastAsia="Times New Roman" w:hAnsi="Verdana" w:cs="Times New Roman"/>
          <w:color w:val="000000"/>
          <w:sz w:val="18"/>
          <w:szCs w:val="18"/>
        </w:rPr>
        <w:t>ordered that the costs incurred by the appellants as well as the respondents should be paid by the trust on an attorney and client scale.</w:t>
      </w:r>
    </w:p>
    <w:p w:rsidR="00275A7A" w:rsidRPr="00275A7A" w:rsidRDefault="00275A7A" w:rsidP="00275A7A">
      <w:pPr>
        <w:spacing w:before="180" w:after="0" w:line="240" w:lineRule="auto"/>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[17</w:t>
      </w:r>
      <w:proofErr w:type="gramStart"/>
      <w:r w:rsidRPr="00275A7A">
        <w:rPr>
          <w:rFonts w:ascii="Verdana" w:eastAsia="Times New Roman" w:hAnsi="Verdana" w:cs="Times New Roman"/>
          <w:color w:val="000000"/>
          <w:sz w:val="18"/>
          <w:szCs w:val="18"/>
        </w:rPr>
        <w:t>]  In</w:t>
      </w:r>
      <w:proofErr w:type="gramEnd"/>
      <w:r w:rsidRPr="00275A7A">
        <w:rPr>
          <w:rFonts w:ascii="Verdana" w:eastAsia="Times New Roman" w:hAnsi="Verdana" w:cs="Times New Roman"/>
          <w:color w:val="000000"/>
          <w:sz w:val="18"/>
          <w:szCs w:val="18"/>
        </w:rPr>
        <w:t xml:space="preserve"> essence, the appellants' contention on appeal was that the court </w:t>
      </w:r>
      <w:r w:rsidRPr="00275A7A">
        <w:rPr>
          <w:rFonts w:ascii="Verdana" w:eastAsia="Times New Roman" w:hAnsi="Verdana" w:cs="Times New Roman"/>
          <w:i/>
          <w:iCs/>
          <w:color w:val="000000"/>
          <w:sz w:val="18"/>
          <w:szCs w:val="18"/>
        </w:rPr>
        <w:t xml:space="preserve">a quo </w:t>
      </w:r>
      <w:r w:rsidRPr="00275A7A">
        <w:rPr>
          <w:rFonts w:ascii="Verdana" w:eastAsia="Times New Roman" w:hAnsi="Verdana" w:cs="Times New Roman"/>
          <w:color w:val="000000"/>
          <w:sz w:val="18"/>
          <w:szCs w:val="18"/>
        </w:rPr>
        <w:t xml:space="preserve">rightly concluded that the agreement to vary the trust deed was invalid and without any legal effect. But, following upon that conclusion, so the appellants further contended, the court </w:t>
      </w:r>
      <w:r w:rsidRPr="00275A7A">
        <w:rPr>
          <w:rFonts w:ascii="Verdana" w:eastAsia="Times New Roman" w:hAnsi="Verdana" w:cs="Times New Roman"/>
          <w:i/>
          <w:iCs/>
          <w:color w:val="000000"/>
          <w:sz w:val="18"/>
          <w:szCs w:val="18"/>
        </w:rPr>
        <w:t xml:space="preserve">a quo </w:t>
      </w:r>
      <w:r w:rsidRPr="00275A7A">
        <w:rPr>
          <w:rFonts w:ascii="Verdana" w:eastAsia="Times New Roman" w:hAnsi="Verdana" w:cs="Times New Roman"/>
          <w:color w:val="000000"/>
          <w:sz w:val="18"/>
          <w:szCs w:val="18"/>
        </w:rPr>
        <w:t xml:space="preserve">had no option but to grant a </w:t>
      </w:r>
      <w:proofErr w:type="spellStart"/>
      <w:r w:rsidRPr="00275A7A">
        <w:rPr>
          <w:rFonts w:ascii="Verdana" w:eastAsia="Times New Roman" w:hAnsi="Verdana" w:cs="Times New Roman"/>
          <w:color w:val="000000"/>
          <w:sz w:val="18"/>
          <w:szCs w:val="18"/>
        </w:rPr>
        <w:t>declarator</w:t>
      </w:r>
      <w:proofErr w:type="spellEnd"/>
      <w:r w:rsidRPr="00275A7A">
        <w:rPr>
          <w:rFonts w:ascii="Verdana" w:eastAsia="Times New Roman" w:hAnsi="Verdana" w:cs="Times New Roman"/>
          <w:color w:val="000000"/>
          <w:sz w:val="18"/>
          <w:szCs w:val="18"/>
        </w:rPr>
        <w:t xml:space="preserve"> confirming the invalidity of the variation agreement, which was the order that they sought. The cross-appeal, on the other hand, was essentially based on the contention by the respondents that the court </w:t>
      </w:r>
      <w:r w:rsidRPr="00275A7A">
        <w:rPr>
          <w:rFonts w:ascii="Verdana" w:eastAsia="Times New Roman" w:hAnsi="Verdana" w:cs="Times New Roman"/>
          <w:i/>
          <w:iCs/>
          <w:color w:val="000000"/>
          <w:sz w:val="18"/>
          <w:szCs w:val="18"/>
        </w:rPr>
        <w:t xml:space="preserve">a quo </w:t>
      </w:r>
      <w:r w:rsidRPr="00275A7A">
        <w:rPr>
          <w:rFonts w:ascii="Verdana" w:eastAsia="Times New Roman" w:hAnsi="Verdana" w:cs="Times New Roman"/>
          <w:color w:val="000000"/>
          <w:sz w:val="18"/>
          <w:szCs w:val="18"/>
        </w:rPr>
        <w:t xml:space="preserve">had erred in not finding that the agreement to vary the trust deed was valid and enforceable. Alternatively and even if the variation agreement proved to be invalid, so the respondents further contended, the appellants' remedy was a claim for damages resulting from a breach of contract by the deceased and the trustees when they sought to vary the trust deed without the appellants' consent. Since the appellants brought no such claim, but sought an order declaring the variation agreement invalid, so the respondents' argument concluded, the court </w:t>
      </w:r>
      <w:r w:rsidRPr="00275A7A">
        <w:rPr>
          <w:rFonts w:ascii="Verdana" w:eastAsia="Times New Roman" w:hAnsi="Verdana" w:cs="Times New Roman"/>
          <w:i/>
          <w:iCs/>
          <w:color w:val="000000"/>
          <w:sz w:val="18"/>
          <w:szCs w:val="18"/>
        </w:rPr>
        <w:t xml:space="preserve">a quo </w:t>
      </w:r>
      <w:r w:rsidRPr="00275A7A">
        <w:rPr>
          <w:rFonts w:ascii="Verdana" w:eastAsia="Times New Roman" w:hAnsi="Verdana" w:cs="Times New Roman"/>
          <w:color w:val="000000"/>
          <w:sz w:val="18"/>
          <w:szCs w:val="18"/>
        </w:rPr>
        <w:t>had been bound to refuse the appellants' application with costs.</w:t>
      </w:r>
    </w:p>
    <w:p w:rsidR="00275A7A" w:rsidRPr="00275A7A" w:rsidRDefault="00275A7A" w:rsidP="00275A7A">
      <w:pPr>
        <w:spacing w:before="180" w:after="0" w:line="240" w:lineRule="auto"/>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[18</w:t>
      </w:r>
      <w:proofErr w:type="gramStart"/>
      <w:r w:rsidRPr="00275A7A">
        <w:rPr>
          <w:rFonts w:ascii="Verdana" w:eastAsia="Times New Roman" w:hAnsi="Verdana" w:cs="Times New Roman"/>
          <w:color w:val="000000"/>
          <w:sz w:val="18"/>
          <w:szCs w:val="18"/>
        </w:rPr>
        <w:t>]  Logic</w:t>
      </w:r>
      <w:proofErr w:type="gramEnd"/>
      <w:r w:rsidRPr="00275A7A">
        <w:rPr>
          <w:rFonts w:ascii="Verdana" w:eastAsia="Times New Roman" w:hAnsi="Verdana" w:cs="Times New Roman"/>
          <w:color w:val="000000"/>
          <w:sz w:val="18"/>
          <w:szCs w:val="18"/>
        </w:rPr>
        <w:t xml:space="preserve"> dictates that I deal with the cross-appeal first. This is so because, if the variation agreement was found to be valid and enforceable, that would be the end of the matter. In that event, the appellants' application for a </w:t>
      </w:r>
      <w:proofErr w:type="spellStart"/>
      <w:r w:rsidRPr="00275A7A">
        <w:rPr>
          <w:rFonts w:ascii="Verdana" w:eastAsia="Times New Roman" w:hAnsi="Verdana" w:cs="Times New Roman"/>
          <w:color w:val="000000"/>
          <w:sz w:val="18"/>
          <w:szCs w:val="18"/>
        </w:rPr>
        <w:t>declarator</w:t>
      </w:r>
      <w:proofErr w:type="spellEnd"/>
      <w:r w:rsidRPr="00275A7A">
        <w:rPr>
          <w:rFonts w:ascii="Verdana" w:eastAsia="Times New Roman" w:hAnsi="Verdana" w:cs="Times New Roman"/>
          <w:color w:val="000000"/>
          <w:sz w:val="18"/>
          <w:szCs w:val="18"/>
        </w:rPr>
        <w:t xml:space="preserve"> to the contrary should have been dismissed which would mean that the cross-appeal </w:t>
      </w:r>
    </w:p>
    <w:p w:rsidR="00275A7A" w:rsidRPr="00275A7A" w:rsidRDefault="00275A7A" w:rsidP="00275A7A">
      <w:pPr>
        <w:spacing w:before="360" w:after="0" w:line="240" w:lineRule="auto"/>
        <w:rPr>
          <w:rFonts w:ascii="Verdana" w:eastAsia="Times New Roman" w:hAnsi="Verdana" w:cs="Times New Roman"/>
          <w:b/>
          <w:bCs/>
          <w:color w:val="000000"/>
          <w:sz w:val="16"/>
          <w:szCs w:val="16"/>
        </w:rPr>
      </w:pPr>
      <w:r w:rsidRPr="00275A7A">
        <w:rPr>
          <w:rFonts w:ascii="Verdana" w:eastAsia="Times New Roman" w:hAnsi="Verdana" w:cs="Times New Roman"/>
          <w:b/>
          <w:bCs/>
          <w:color w:val="000000"/>
          <w:sz w:val="16"/>
          <w:szCs w:val="16"/>
        </w:rPr>
        <w:t>Page 12 of [2011] JOL 27892 (SCA)</w:t>
      </w:r>
    </w:p>
    <w:p w:rsidR="00275A7A" w:rsidRPr="00275A7A" w:rsidRDefault="00275A7A" w:rsidP="00275A7A">
      <w:pPr>
        <w:spacing w:before="180" w:after="0" w:line="240" w:lineRule="auto"/>
        <w:jc w:val="both"/>
        <w:rPr>
          <w:rFonts w:ascii="Verdana" w:eastAsia="Times New Roman" w:hAnsi="Verdana" w:cs="Times New Roman"/>
          <w:color w:val="000000"/>
          <w:sz w:val="18"/>
          <w:szCs w:val="18"/>
        </w:rPr>
      </w:pPr>
      <w:proofErr w:type="gramStart"/>
      <w:r w:rsidRPr="00275A7A">
        <w:rPr>
          <w:rFonts w:ascii="Verdana" w:eastAsia="Times New Roman" w:hAnsi="Verdana" w:cs="Times New Roman"/>
          <w:color w:val="000000"/>
          <w:sz w:val="18"/>
          <w:szCs w:val="18"/>
        </w:rPr>
        <w:t>must</w:t>
      </w:r>
      <w:proofErr w:type="gramEnd"/>
      <w:r w:rsidRPr="00275A7A">
        <w:rPr>
          <w:rFonts w:ascii="Verdana" w:eastAsia="Times New Roman" w:hAnsi="Verdana" w:cs="Times New Roman"/>
          <w:color w:val="000000"/>
          <w:sz w:val="18"/>
          <w:szCs w:val="18"/>
        </w:rPr>
        <w:t xml:space="preserve"> succeed. As I see it, the legal principles that find application are well settled and I did not understand any of the parties to contend otherwise. I believe these principles can be formulated thus: a trust deed executed by a founder and trustees of a trust for the benefit of others is akin to a contract for the benefit of a third party, also known as a </w:t>
      </w:r>
      <w:proofErr w:type="spellStart"/>
      <w:r w:rsidRPr="00275A7A">
        <w:rPr>
          <w:rFonts w:ascii="Verdana" w:eastAsia="Times New Roman" w:hAnsi="Verdana" w:cs="Times New Roman"/>
          <w:i/>
          <w:iCs/>
          <w:color w:val="000000"/>
          <w:sz w:val="18"/>
          <w:szCs w:val="18"/>
        </w:rPr>
        <w:t>stipulatio</w:t>
      </w:r>
      <w:proofErr w:type="spellEnd"/>
      <w:r w:rsidRPr="00275A7A">
        <w:rPr>
          <w:rFonts w:ascii="Verdana" w:eastAsia="Times New Roman" w:hAnsi="Verdana" w:cs="Times New Roman"/>
          <w:i/>
          <w:iCs/>
          <w:color w:val="000000"/>
          <w:sz w:val="18"/>
          <w:szCs w:val="18"/>
        </w:rPr>
        <w:t xml:space="preserve"> </w:t>
      </w:r>
      <w:proofErr w:type="spellStart"/>
      <w:r w:rsidRPr="00275A7A">
        <w:rPr>
          <w:rFonts w:ascii="Verdana" w:eastAsia="Times New Roman" w:hAnsi="Verdana" w:cs="Times New Roman"/>
          <w:i/>
          <w:iCs/>
          <w:color w:val="000000"/>
          <w:sz w:val="18"/>
          <w:szCs w:val="18"/>
        </w:rPr>
        <w:t>alteri</w:t>
      </w:r>
      <w:proofErr w:type="spellEnd"/>
      <w:r w:rsidRPr="00275A7A">
        <w:rPr>
          <w:rFonts w:ascii="Verdana" w:eastAsia="Times New Roman" w:hAnsi="Verdana" w:cs="Times New Roman"/>
          <w:color w:val="000000"/>
          <w:sz w:val="18"/>
          <w:szCs w:val="18"/>
        </w:rPr>
        <w:t xml:space="preserve">. In consequence, the founder and trustee can vary or even cancel the agreement between them before the third party has accepted the benefits conferred on him or her by the trust deed. But once the beneficiary has accepted those </w:t>
      </w:r>
      <w:r w:rsidRPr="00275A7A">
        <w:rPr>
          <w:rFonts w:ascii="Verdana" w:eastAsia="Times New Roman" w:hAnsi="Verdana" w:cs="Times New Roman"/>
          <w:color w:val="000000"/>
          <w:sz w:val="18"/>
          <w:szCs w:val="18"/>
        </w:rPr>
        <w:lastRenderedPageBreak/>
        <w:t xml:space="preserve">benefits, the trust deed can only be varied with his or her consent. The reason is that, as in the case of a </w:t>
      </w:r>
      <w:proofErr w:type="spellStart"/>
      <w:r w:rsidRPr="00275A7A">
        <w:rPr>
          <w:rFonts w:ascii="Verdana" w:eastAsia="Times New Roman" w:hAnsi="Verdana" w:cs="Times New Roman"/>
          <w:i/>
          <w:iCs/>
          <w:color w:val="000000"/>
          <w:sz w:val="18"/>
          <w:szCs w:val="18"/>
        </w:rPr>
        <w:t>stipulatio</w:t>
      </w:r>
      <w:proofErr w:type="spellEnd"/>
      <w:r w:rsidRPr="00275A7A">
        <w:rPr>
          <w:rFonts w:ascii="Verdana" w:eastAsia="Times New Roman" w:hAnsi="Verdana" w:cs="Times New Roman"/>
          <w:i/>
          <w:iCs/>
          <w:color w:val="000000"/>
          <w:sz w:val="18"/>
          <w:szCs w:val="18"/>
        </w:rPr>
        <w:t xml:space="preserve"> </w:t>
      </w:r>
      <w:proofErr w:type="spellStart"/>
      <w:r w:rsidRPr="00275A7A">
        <w:rPr>
          <w:rFonts w:ascii="Verdana" w:eastAsia="Times New Roman" w:hAnsi="Verdana" w:cs="Times New Roman"/>
          <w:i/>
          <w:iCs/>
          <w:color w:val="000000"/>
          <w:sz w:val="18"/>
          <w:szCs w:val="18"/>
        </w:rPr>
        <w:t>alteri</w:t>
      </w:r>
      <w:proofErr w:type="spellEnd"/>
      <w:r w:rsidRPr="00275A7A">
        <w:rPr>
          <w:rFonts w:ascii="Verdana" w:eastAsia="Times New Roman" w:hAnsi="Verdana" w:cs="Times New Roman"/>
          <w:color w:val="000000"/>
          <w:sz w:val="18"/>
          <w:szCs w:val="18"/>
        </w:rPr>
        <w:t xml:space="preserve">, it is only upon acceptance that the beneficiaries acquire rights under the trust (see </w:t>
      </w:r>
      <w:proofErr w:type="spellStart"/>
      <w:r w:rsidRPr="00275A7A">
        <w:rPr>
          <w:rFonts w:ascii="Verdana" w:eastAsia="Times New Roman" w:hAnsi="Verdana" w:cs="Times New Roman"/>
          <w:color w:val="000000"/>
          <w:sz w:val="18"/>
          <w:szCs w:val="18"/>
        </w:rPr>
        <w:t>eg</w:t>
      </w:r>
      <w:proofErr w:type="spellEnd"/>
      <w:r w:rsidRPr="00275A7A">
        <w:rPr>
          <w:rFonts w:ascii="Verdana" w:eastAsia="Times New Roman" w:hAnsi="Verdana" w:cs="Times New Roman"/>
          <w:color w:val="000000"/>
          <w:sz w:val="18"/>
          <w:szCs w:val="18"/>
        </w:rPr>
        <w:t xml:space="preserve"> </w:t>
      </w:r>
      <w:r w:rsidRPr="00275A7A">
        <w:rPr>
          <w:rFonts w:ascii="Verdana" w:eastAsia="Times New Roman" w:hAnsi="Verdana" w:cs="Times New Roman"/>
          <w:i/>
          <w:iCs/>
          <w:color w:val="000000"/>
          <w:sz w:val="18"/>
          <w:szCs w:val="18"/>
        </w:rPr>
        <w:t xml:space="preserve">Crookes NO v Watson </w:t>
      </w:r>
      <w:r w:rsidRPr="00275A7A">
        <w:rPr>
          <w:rFonts w:ascii="Verdana" w:eastAsia="Times New Roman" w:hAnsi="Verdana" w:cs="Times New Roman"/>
          <w:color w:val="000000"/>
          <w:sz w:val="18"/>
          <w:szCs w:val="18"/>
        </w:rPr>
        <w:t xml:space="preserve">1956 (1) SA 277 (A) at 285F [also reported at </w:t>
      </w:r>
      <w:hyperlink r:id="rId6" w:anchor="g0" w:history="1">
        <w:r w:rsidRPr="00275A7A">
          <w:rPr>
            <w:rFonts w:ascii="Verdana" w:eastAsia="Times New Roman" w:hAnsi="Verdana" w:cs="Times New Roman"/>
            <w:color w:val="008000"/>
            <w:sz w:val="18"/>
            <w:szCs w:val="18"/>
            <w:u w:val="single"/>
          </w:rPr>
          <w:t>[1956] 1 All SA 227 (A)</w:t>
        </w:r>
      </w:hyperlink>
      <w:r w:rsidRPr="00275A7A">
        <w:rPr>
          <w:rFonts w:ascii="Verdana" w:eastAsia="Times New Roman" w:hAnsi="Verdana" w:cs="Times New Roman"/>
          <w:color w:val="000000"/>
          <w:sz w:val="18"/>
          <w:szCs w:val="18"/>
        </w:rPr>
        <w:t xml:space="preserve"> – Ed]; </w:t>
      </w:r>
      <w:r w:rsidRPr="00275A7A">
        <w:rPr>
          <w:rFonts w:ascii="Verdana" w:eastAsia="Times New Roman" w:hAnsi="Verdana" w:cs="Times New Roman"/>
          <w:i/>
          <w:iCs/>
          <w:color w:val="000000"/>
          <w:sz w:val="18"/>
          <w:szCs w:val="18"/>
        </w:rPr>
        <w:t xml:space="preserve">Ex parte </w:t>
      </w:r>
      <w:proofErr w:type="spellStart"/>
      <w:r w:rsidRPr="00275A7A">
        <w:rPr>
          <w:rFonts w:ascii="Verdana" w:eastAsia="Times New Roman" w:hAnsi="Verdana" w:cs="Times New Roman"/>
          <w:i/>
          <w:iCs/>
          <w:color w:val="000000"/>
          <w:sz w:val="18"/>
          <w:szCs w:val="18"/>
        </w:rPr>
        <w:t>Hulton</w:t>
      </w:r>
      <w:proofErr w:type="spellEnd"/>
      <w:r w:rsidRPr="00275A7A">
        <w:rPr>
          <w:rFonts w:ascii="Verdana" w:eastAsia="Times New Roman" w:hAnsi="Verdana" w:cs="Times New Roman"/>
          <w:i/>
          <w:iCs/>
          <w:color w:val="000000"/>
          <w:sz w:val="18"/>
          <w:szCs w:val="18"/>
        </w:rPr>
        <w:t xml:space="preserve"> </w:t>
      </w:r>
      <w:r w:rsidRPr="00275A7A">
        <w:rPr>
          <w:rFonts w:ascii="Verdana" w:eastAsia="Times New Roman" w:hAnsi="Verdana" w:cs="Times New Roman"/>
          <w:color w:val="000000"/>
          <w:sz w:val="18"/>
          <w:szCs w:val="18"/>
        </w:rPr>
        <w:t xml:space="preserve">1954 (1) SA 460 (C) at 466A – D [also reported at </w:t>
      </w:r>
      <w:hyperlink r:id="rId7" w:anchor="g0" w:history="1">
        <w:r w:rsidRPr="00275A7A">
          <w:rPr>
            <w:rFonts w:ascii="Verdana" w:eastAsia="Times New Roman" w:hAnsi="Verdana" w:cs="Times New Roman"/>
            <w:color w:val="008000"/>
            <w:sz w:val="18"/>
            <w:szCs w:val="18"/>
            <w:u w:val="single"/>
          </w:rPr>
          <w:t>[1954] 1 All SA 250 (C)</w:t>
        </w:r>
      </w:hyperlink>
      <w:r w:rsidRPr="00275A7A">
        <w:rPr>
          <w:rFonts w:ascii="Verdana" w:eastAsia="Times New Roman" w:hAnsi="Verdana" w:cs="Times New Roman"/>
          <w:color w:val="000000"/>
          <w:sz w:val="18"/>
          <w:szCs w:val="18"/>
        </w:rPr>
        <w:t xml:space="preserve"> – Ed]; </w:t>
      </w:r>
      <w:r w:rsidRPr="00275A7A">
        <w:rPr>
          <w:rFonts w:ascii="Verdana" w:eastAsia="Times New Roman" w:hAnsi="Verdana" w:cs="Times New Roman"/>
          <w:i/>
          <w:iCs/>
          <w:color w:val="000000"/>
          <w:sz w:val="18"/>
          <w:szCs w:val="18"/>
        </w:rPr>
        <w:t xml:space="preserve">Hofer v </w:t>
      </w:r>
      <w:proofErr w:type="spellStart"/>
      <w:r w:rsidRPr="00275A7A">
        <w:rPr>
          <w:rFonts w:ascii="Verdana" w:eastAsia="Times New Roman" w:hAnsi="Verdana" w:cs="Times New Roman"/>
          <w:i/>
          <w:iCs/>
          <w:color w:val="000000"/>
          <w:sz w:val="18"/>
          <w:szCs w:val="18"/>
        </w:rPr>
        <w:t>Kevitt</w:t>
      </w:r>
      <w:proofErr w:type="spellEnd"/>
      <w:r w:rsidRPr="00275A7A">
        <w:rPr>
          <w:rFonts w:ascii="Verdana" w:eastAsia="Times New Roman" w:hAnsi="Verdana" w:cs="Times New Roman"/>
          <w:i/>
          <w:iCs/>
          <w:color w:val="000000"/>
          <w:sz w:val="18"/>
          <w:szCs w:val="18"/>
        </w:rPr>
        <w:t xml:space="preserve"> NO </w:t>
      </w:r>
      <w:r w:rsidRPr="00275A7A">
        <w:rPr>
          <w:rFonts w:ascii="Verdana" w:eastAsia="Times New Roman" w:hAnsi="Verdana" w:cs="Times New Roman"/>
          <w:color w:val="000000"/>
          <w:sz w:val="18"/>
          <w:szCs w:val="18"/>
        </w:rPr>
        <w:t xml:space="preserve">1998 (1) SA 382 (SCA) at 386G – 387E [also reported at [2000] JOL 1650 (A) – Ed]; Cameron, De Waal &amp; </w:t>
      </w:r>
      <w:proofErr w:type="spellStart"/>
      <w:r w:rsidRPr="00275A7A">
        <w:rPr>
          <w:rFonts w:ascii="Verdana" w:eastAsia="Times New Roman" w:hAnsi="Verdana" w:cs="Times New Roman"/>
          <w:color w:val="000000"/>
          <w:sz w:val="18"/>
          <w:szCs w:val="18"/>
        </w:rPr>
        <w:t>Wunsh</w:t>
      </w:r>
      <w:proofErr w:type="spellEnd"/>
      <w:r w:rsidRPr="00275A7A">
        <w:rPr>
          <w:rFonts w:ascii="Verdana" w:eastAsia="Times New Roman" w:hAnsi="Verdana" w:cs="Times New Roman"/>
          <w:color w:val="000000"/>
          <w:sz w:val="18"/>
          <w:szCs w:val="18"/>
        </w:rPr>
        <w:t xml:space="preserve"> </w:t>
      </w:r>
      <w:proofErr w:type="spellStart"/>
      <w:r w:rsidRPr="00275A7A">
        <w:rPr>
          <w:rFonts w:ascii="Verdana" w:eastAsia="Times New Roman" w:hAnsi="Verdana" w:cs="Times New Roman"/>
          <w:i/>
          <w:iCs/>
          <w:color w:val="000000"/>
          <w:sz w:val="18"/>
          <w:szCs w:val="18"/>
        </w:rPr>
        <w:t>Honoré's</w:t>
      </w:r>
      <w:proofErr w:type="spellEnd"/>
      <w:r w:rsidRPr="00275A7A">
        <w:rPr>
          <w:rFonts w:ascii="Verdana" w:eastAsia="Times New Roman" w:hAnsi="Verdana" w:cs="Times New Roman"/>
          <w:i/>
          <w:iCs/>
          <w:color w:val="000000"/>
          <w:sz w:val="18"/>
          <w:szCs w:val="18"/>
        </w:rPr>
        <w:t xml:space="preserve"> South African Law of Trusts </w:t>
      </w:r>
      <w:r w:rsidRPr="00275A7A">
        <w:rPr>
          <w:rFonts w:ascii="Verdana" w:eastAsia="Times New Roman" w:hAnsi="Verdana" w:cs="Times New Roman"/>
          <w:color w:val="000000"/>
          <w:sz w:val="18"/>
          <w:szCs w:val="18"/>
        </w:rPr>
        <w:t>5ed (2002) paragraph 304).</w:t>
      </w:r>
    </w:p>
    <w:p w:rsidR="00275A7A" w:rsidRPr="00275A7A" w:rsidRDefault="00275A7A" w:rsidP="00275A7A">
      <w:pPr>
        <w:spacing w:before="180" w:after="0" w:line="240" w:lineRule="auto"/>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[19</w:t>
      </w:r>
      <w:proofErr w:type="gramStart"/>
      <w:r w:rsidRPr="00275A7A">
        <w:rPr>
          <w:rFonts w:ascii="Verdana" w:eastAsia="Times New Roman" w:hAnsi="Verdana" w:cs="Times New Roman"/>
          <w:color w:val="000000"/>
          <w:sz w:val="18"/>
          <w:szCs w:val="18"/>
        </w:rPr>
        <w:t>]  Relying</w:t>
      </w:r>
      <w:proofErr w:type="gramEnd"/>
      <w:r w:rsidRPr="00275A7A">
        <w:rPr>
          <w:rFonts w:ascii="Verdana" w:eastAsia="Times New Roman" w:hAnsi="Verdana" w:cs="Times New Roman"/>
          <w:color w:val="000000"/>
          <w:sz w:val="18"/>
          <w:szCs w:val="18"/>
        </w:rPr>
        <w:t xml:space="preserve"> on these principles, the appellants' main argument in their papers was that the benefits conferred on them in the original trust deed were accepted by the deceased on their behalf as reflected in the preamble of the trust deed itself. In relevant part the preamble provided:</w:t>
      </w:r>
    </w:p>
    <w:p w:rsidR="00275A7A" w:rsidRPr="00275A7A" w:rsidRDefault="00275A7A" w:rsidP="00275A7A">
      <w:pPr>
        <w:spacing w:before="180" w:after="0" w:line="240" w:lineRule="auto"/>
        <w:ind w:left="567" w:right="567"/>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"Whereas the founder desires to create the trust referred to in this deed for and on behalf of the named capital beneficiaries, subject to the terms and conditions more fully set out hereafter;</w:t>
      </w:r>
    </w:p>
    <w:p w:rsidR="00275A7A" w:rsidRPr="00275A7A" w:rsidRDefault="00275A7A" w:rsidP="00275A7A">
      <w:pPr>
        <w:spacing w:before="180" w:after="0" w:line="240" w:lineRule="auto"/>
        <w:ind w:left="567" w:right="567"/>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 xml:space="preserve">And whereas </w:t>
      </w:r>
      <w:r w:rsidRPr="00275A7A">
        <w:rPr>
          <w:rFonts w:ascii="Verdana" w:eastAsia="Times New Roman" w:hAnsi="Verdana" w:cs="Times New Roman"/>
          <w:i/>
          <w:iCs/>
          <w:color w:val="000000"/>
          <w:sz w:val="18"/>
          <w:szCs w:val="18"/>
        </w:rPr>
        <w:t xml:space="preserve">the beneficiaries have indicated </w:t>
      </w:r>
      <w:r w:rsidRPr="00275A7A">
        <w:rPr>
          <w:rFonts w:ascii="Verdana" w:eastAsia="Times New Roman" w:hAnsi="Verdana" w:cs="Times New Roman"/>
          <w:color w:val="000000"/>
          <w:sz w:val="18"/>
          <w:szCs w:val="18"/>
        </w:rPr>
        <w:t>(Afrikaans –'</w:t>
      </w:r>
      <w:proofErr w:type="spellStart"/>
      <w:r w:rsidRPr="00275A7A">
        <w:rPr>
          <w:rFonts w:ascii="Verdana" w:eastAsia="Times New Roman" w:hAnsi="Verdana" w:cs="Times New Roman"/>
          <w:color w:val="000000"/>
          <w:sz w:val="18"/>
          <w:szCs w:val="18"/>
        </w:rPr>
        <w:t>aangedui</w:t>
      </w:r>
      <w:proofErr w:type="spellEnd"/>
      <w:r w:rsidRPr="00275A7A">
        <w:rPr>
          <w:rFonts w:ascii="Verdana" w:eastAsia="Times New Roman" w:hAnsi="Verdana" w:cs="Times New Roman"/>
          <w:color w:val="000000"/>
          <w:sz w:val="18"/>
          <w:szCs w:val="18"/>
        </w:rPr>
        <w:t xml:space="preserve">') </w:t>
      </w:r>
      <w:r w:rsidRPr="00275A7A">
        <w:rPr>
          <w:rFonts w:ascii="Verdana" w:eastAsia="Times New Roman" w:hAnsi="Verdana" w:cs="Times New Roman"/>
          <w:i/>
          <w:iCs/>
          <w:color w:val="000000"/>
          <w:sz w:val="18"/>
          <w:szCs w:val="18"/>
        </w:rPr>
        <w:t>their acceptance of the benefits conferred upon them in terms hereof;</w:t>
      </w:r>
    </w:p>
    <w:p w:rsidR="00275A7A" w:rsidRPr="00275A7A" w:rsidRDefault="00275A7A" w:rsidP="00275A7A">
      <w:pPr>
        <w:spacing w:before="180" w:after="0" w:line="240" w:lineRule="auto"/>
        <w:ind w:left="567" w:right="567"/>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And whereas the trustees agreed to accept their appointments as such and to administer the trust created herein". (My emphasis.)</w:t>
      </w:r>
    </w:p>
    <w:p w:rsidR="00275A7A" w:rsidRPr="00275A7A" w:rsidRDefault="00275A7A" w:rsidP="00275A7A">
      <w:pPr>
        <w:spacing w:before="180" w:after="0" w:line="240" w:lineRule="auto"/>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[20</w:t>
      </w:r>
      <w:proofErr w:type="gramStart"/>
      <w:r w:rsidRPr="00275A7A">
        <w:rPr>
          <w:rFonts w:ascii="Verdana" w:eastAsia="Times New Roman" w:hAnsi="Verdana" w:cs="Times New Roman"/>
          <w:color w:val="000000"/>
          <w:sz w:val="18"/>
          <w:szCs w:val="18"/>
        </w:rPr>
        <w:t>]  The</w:t>
      </w:r>
      <w:proofErr w:type="gramEnd"/>
      <w:r w:rsidRPr="00275A7A">
        <w:rPr>
          <w:rFonts w:ascii="Verdana" w:eastAsia="Times New Roman" w:hAnsi="Verdana" w:cs="Times New Roman"/>
          <w:color w:val="000000"/>
          <w:sz w:val="18"/>
          <w:szCs w:val="18"/>
        </w:rPr>
        <w:t xml:space="preserve"> clear meaning of the second pronouncement thus recorded, so the appellants maintained, is that the deceased, who was their father and natural guardian, as they were still minors at the time, had indicated his acceptance of </w:t>
      </w:r>
    </w:p>
    <w:p w:rsidR="00275A7A" w:rsidRPr="00275A7A" w:rsidRDefault="00275A7A" w:rsidP="00275A7A">
      <w:pPr>
        <w:spacing w:before="360" w:after="0" w:line="240" w:lineRule="auto"/>
        <w:rPr>
          <w:rFonts w:ascii="Verdana" w:eastAsia="Times New Roman" w:hAnsi="Verdana" w:cs="Times New Roman"/>
          <w:b/>
          <w:bCs/>
          <w:color w:val="000000"/>
          <w:sz w:val="16"/>
          <w:szCs w:val="16"/>
        </w:rPr>
      </w:pPr>
      <w:r w:rsidRPr="00275A7A">
        <w:rPr>
          <w:rFonts w:ascii="Verdana" w:eastAsia="Times New Roman" w:hAnsi="Verdana" w:cs="Times New Roman"/>
          <w:b/>
          <w:bCs/>
          <w:color w:val="000000"/>
          <w:sz w:val="16"/>
          <w:szCs w:val="16"/>
        </w:rPr>
        <w:t>Page 13 of [2011] JOL 27892 (SCA)</w:t>
      </w:r>
    </w:p>
    <w:p w:rsidR="00275A7A" w:rsidRPr="00275A7A" w:rsidRDefault="00275A7A" w:rsidP="00275A7A">
      <w:pPr>
        <w:spacing w:before="180" w:after="0" w:line="240" w:lineRule="auto"/>
        <w:jc w:val="both"/>
        <w:rPr>
          <w:rFonts w:ascii="Verdana" w:eastAsia="Times New Roman" w:hAnsi="Verdana" w:cs="Times New Roman"/>
          <w:color w:val="000000"/>
          <w:sz w:val="18"/>
          <w:szCs w:val="18"/>
        </w:rPr>
      </w:pPr>
      <w:proofErr w:type="gramStart"/>
      <w:r w:rsidRPr="00275A7A">
        <w:rPr>
          <w:rFonts w:ascii="Verdana" w:eastAsia="Times New Roman" w:hAnsi="Verdana" w:cs="Times New Roman"/>
          <w:color w:val="000000"/>
          <w:sz w:val="18"/>
          <w:szCs w:val="18"/>
        </w:rPr>
        <w:t>the</w:t>
      </w:r>
      <w:proofErr w:type="gramEnd"/>
      <w:r w:rsidRPr="00275A7A">
        <w:rPr>
          <w:rFonts w:ascii="Verdana" w:eastAsia="Times New Roman" w:hAnsi="Verdana" w:cs="Times New Roman"/>
          <w:color w:val="000000"/>
          <w:sz w:val="18"/>
          <w:szCs w:val="18"/>
        </w:rPr>
        <w:t xml:space="preserve"> benefits conferred upon them, as the sole capital beneficiaries, on their behalf. These allegations of fact were disputed in the respondents' answering affidavit deposed to by </w:t>
      </w:r>
      <w:proofErr w:type="spellStart"/>
      <w:r w:rsidRPr="00275A7A">
        <w:rPr>
          <w:rFonts w:ascii="Verdana" w:eastAsia="Times New Roman" w:hAnsi="Verdana" w:cs="Times New Roman"/>
          <w:color w:val="000000"/>
          <w:sz w:val="18"/>
          <w:szCs w:val="18"/>
        </w:rPr>
        <w:t>Wessels</w:t>
      </w:r>
      <w:proofErr w:type="spellEnd"/>
      <w:r w:rsidRPr="00275A7A">
        <w:rPr>
          <w:rFonts w:ascii="Verdana" w:eastAsia="Times New Roman" w:hAnsi="Verdana" w:cs="Times New Roman"/>
          <w:color w:val="000000"/>
          <w:sz w:val="18"/>
          <w:szCs w:val="18"/>
        </w:rPr>
        <w:t xml:space="preserve"> on behalf of the respondents. It will be remembered that </w:t>
      </w:r>
      <w:proofErr w:type="spellStart"/>
      <w:r w:rsidRPr="00275A7A">
        <w:rPr>
          <w:rFonts w:ascii="Verdana" w:eastAsia="Times New Roman" w:hAnsi="Verdana" w:cs="Times New Roman"/>
          <w:color w:val="000000"/>
          <w:sz w:val="18"/>
          <w:szCs w:val="18"/>
        </w:rPr>
        <w:t>Wessels</w:t>
      </w:r>
      <w:proofErr w:type="spellEnd"/>
      <w:r w:rsidRPr="00275A7A">
        <w:rPr>
          <w:rFonts w:ascii="Verdana" w:eastAsia="Times New Roman" w:hAnsi="Verdana" w:cs="Times New Roman"/>
          <w:color w:val="000000"/>
          <w:sz w:val="18"/>
          <w:szCs w:val="18"/>
        </w:rPr>
        <w:t xml:space="preserve"> was the deceased's attorney at the time. In that capacity he prepared the original trust deed on the instructions of the deceased. According to </w:t>
      </w:r>
      <w:proofErr w:type="spellStart"/>
      <w:r w:rsidRPr="00275A7A">
        <w:rPr>
          <w:rFonts w:ascii="Verdana" w:eastAsia="Times New Roman" w:hAnsi="Verdana" w:cs="Times New Roman"/>
          <w:color w:val="000000"/>
          <w:sz w:val="18"/>
          <w:szCs w:val="18"/>
        </w:rPr>
        <w:t>Wessels</w:t>
      </w:r>
      <w:proofErr w:type="spellEnd"/>
      <w:r w:rsidRPr="00275A7A">
        <w:rPr>
          <w:rFonts w:ascii="Verdana" w:eastAsia="Times New Roman" w:hAnsi="Verdana" w:cs="Times New Roman"/>
          <w:color w:val="000000"/>
          <w:sz w:val="18"/>
          <w:szCs w:val="18"/>
        </w:rPr>
        <w:t xml:space="preserve">' testimony, the pronouncement in the preamble relied upon by the </w:t>
      </w:r>
      <w:proofErr w:type="gramStart"/>
      <w:r w:rsidRPr="00275A7A">
        <w:rPr>
          <w:rFonts w:ascii="Verdana" w:eastAsia="Times New Roman" w:hAnsi="Verdana" w:cs="Times New Roman"/>
          <w:color w:val="000000"/>
          <w:sz w:val="18"/>
          <w:szCs w:val="18"/>
        </w:rPr>
        <w:t>appellants</w:t>
      </w:r>
      <w:proofErr w:type="gramEnd"/>
      <w:r w:rsidRPr="00275A7A">
        <w:rPr>
          <w:rFonts w:ascii="Verdana" w:eastAsia="Times New Roman" w:hAnsi="Verdana" w:cs="Times New Roman"/>
          <w:color w:val="000000"/>
          <w:sz w:val="18"/>
          <w:szCs w:val="18"/>
        </w:rPr>
        <w:t xml:space="preserve"> amounts to no more than "a vague and loose statement". In any event, he </w:t>
      </w:r>
      <w:proofErr w:type="gramStart"/>
      <w:r w:rsidRPr="00275A7A">
        <w:rPr>
          <w:rFonts w:ascii="Verdana" w:eastAsia="Times New Roman" w:hAnsi="Verdana" w:cs="Times New Roman"/>
          <w:color w:val="000000"/>
          <w:sz w:val="18"/>
          <w:szCs w:val="18"/>
        </w:rPr>
        <w:t>proceeded,</w:t>
      </w:r>
      <w:proofErr w:type="gramEnd"/>
      <w:r w:rsidRPr="00275A7A">
        <w:rPr>
          <w:rFonts w:ascii="Verdana" w:eastAsia="Times New Roman" w:hAnsi="Verdana" w:cs="Times New Roman"/>
          <w:color w:val="000000"/>
          <w:sz w:val="18"/>
          <w:szCs w:val="18"/>
        </w:rPr>
        <w:t xml:space="preserve"> this vague statement was without any meaning and was never intended to form part of the document. It unintentionally found its way into the draft, </w:t>
      </w:r>
      <w:proofErr w:type="spellStart"/>
      <w:r w:rsidRPr="00275A7A">
        <w:rPr>
          <w:rFonts w:ascii="Verdana" w:eastAsia="Times New Roman" w:hAnsi="Verdana" w:cs="Times New Roman"/>
          <w:color w:val="000000"/>
          <w:sz w:val="18"/>
          <w:szCs w:val="18"/>
        </w:rPr>
        <w:t>Wessels</w:t>
      </w:r>
      <w:proofErr w:type="spellEnd"/>
      <w:r w:rsidRPr="00275A7A">
        <w:rPr>
          <w:rFonts w:ascii="Verdana" w:eastAsia="Times New Roman" w:hAnsi="Verdana" w:cs="Times New Roman"/>
          <w:color w:val="000000"/>
          <w:sz w:val="18"/>
          <w:szCs w:val="18"/>
        </w:rPr>
        <w:t xml:space="preserve"> said, because he slavishly copied a precedent without </w:t>
      </w:r>
      <w:proofErr w:type="spellStart"/>
      <w:r w:rsidRPr="00275A7A">
        <w:rPr>
          <w:rFonts w:ascii="Verdana" w:eastAsia="Times New Roman" w:hAnsi="Verdana" w:cs="Times New Roman"/>
          <w:color w:val="000000"/>
          <w:sz w:val="18"/>
          <w:szCs w:val="18"/>
        </w:rPr>
        <w:t>realising</w:t>
      </w:r>
      <w:proofErr w:type="spellEnd"/>
      <w:r w:rsidRPr="00275A7A">
        <w:rPr>
          <w:rFonts w:ascii="Verdana" w:eastAsia="Times New Roman" w:hAnsi="Verdana" w:cs="Times New Roman"/>
          <w:color w:val="000000"/>
          <w:sz w:val="18"/>
          <w:szCs w:val="18"/>
        </w:rPr>
        <w:t xml:space="preserve"> that the statement was inapposite to the deed that he prepared. Had the deceased instructed him to record an acceptance of the benefits on behalf of his minor children, so </w:t>
      </w:r>
      <w:proofErr w:type="spellStart"/>
      <w:r w:rsidRPr="00275A7A">
        <w:rPr>
          <w:rFonts w:ascii="Verdana" w:eastAsia="Times New Roman" w:hAnsi="Verdana" w:cs="Times New Roman"/>
          <w:color w:val="000000"/>
          <w:sz w:val="18"/>
          <w:szCs w:val="18"/>
        </w:rPr>
        <w:t>Wessels</w:t>
      </w:r>
      <w:proofErr w:type="spellEnd"/>
      <w:r w:rsidRPr="00275A7A">
        <w:rPr>
          <w:rFonts w:ascii="Verdana" w:eastAsia="Times New Roman" w:hAnsi="Verdana" w:cs="Times New Roman"/>
          <w:color w:val="000000"/>
          <w:sz w:val="18"/>
          <w:szCs w:val="18"/>
        </w:rPr>
        <w:t xml:space="preserve"> said, the trust deed would have read quite differently. In that event he would, for instance, have incorporated the acceptance as an independent, self-standing term of the trust deed. In support of this version the respondents also relied on the rather laconic statement by </w:t>
      </w:r>
      <w:proofErr w:type="spellStart"/>
      <w:r w:rsidRPr="00275A7A">
        <w:rPr>
          <w:rFonts w:ascii="Verdana" w:eastAsia="Times New Roman" w:hAnsi="Verdana" w:cs="Times New Roman"/>
          <w:color w:val="000000"/>
          <w:sz w:val="18"/>
          <w:szCs w:val="18"/>
        </w:rPr>
        <w:t>Mr</w:t>
      </w:r>
      <w:proofErr w:type="spellEnd"/>
      <w:r w:rsidRPr="00275A7A">
        <w:rPr>
          <w:rFonts w:ascii="Verdana" w:eastAsia="Times New Roman" w:hAnsi="Verdana" w:cs="Times New Roman"/>
          <w:color w:val="000000"/>
          <w:sz w:val="18"/>
          <w:szCs w:val="18"/>
        </w:rPr>
        <w:t xml:space="preserve"> </w:t>
      </w:r>
      <w:proofErr w:type="spellStart"/>
      <w:r w:rsidRPr="00275A7A">
        <w:rPr>
          <w:rFonts w:ascii="Verdana" w:eastAsia="Times New Roman" w:hAnsi="Verdana" w:cs="Times New Roman"/>
          <w:color w:val="000000"/>
          <w:sz w:val="18"/>
          <w:szCs w:val="18"/>
        </w:rPr>
        <w:t>Nicolaas</w:t>
      </w:r>
      <w:proofErr w:type="spellEnd"/>
      <w:r w:rsidRPr="00275A7A">
        <w:rPr>
          <w:rFonts w:ascii="Verdana" w:eastAsia="Times New Roman" w:hAnsi="Verdana" w:cs="Times New Roman"/>
          <w:color w:val="000000"/>
          <w:sz w:val="18"/>
          <w:szCs w:val="18"/>
        </w:rPr>
        <w:t xml:space="preserve"> Pretorius, who was the third original trustee and hence a party to the original trust deed, that the deceased never expressly stated, when he signed the trust deed, that he intended to accept the benefits conferred upon the appellants on their behalf.</w:t>
      </w:r>
    </w:p>
    <w:p w:rsidR="00275A7A" w:rsidRPr="00275A7A" w:rsidRDefault="00275A7A" w:rsidP="00275A7A">
      <w:pPr>
        <w:spacing w:before="180" w:after="0" w:line="240" w:lineRule="auto"/>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[21</w:t>
      </w:r>
      <w:proofErr w:type="gramStart"/>
      <w:r w:rsidRPr="00275A7A">
        <w:rPr>
          <w:rFonts w:ascii="Verdana" w:eastAsia="Times New Roman" w:hAnsi="Verdana" w:cs="Times New Roman"/>
          <w:color w:val="000000"/>
          <w:sz w:val="18"/>
          <w:szCs w:val="18"/>
        </w:rPr>
        <w:t>]  The</w:t>
      </w:r>
      <w:proofErr w:type="gramEnd"/>
      <w:r w:rsidRPr="00275A7A">
        <w:rPr>
          <w:rFonts w:ascii="Verdana" w:eastAsia="Times New Roman" w:hAnsi="Verdana" w:cs="Times New Roman"/>
          <w:color w:val="000000"/>
          <w:sz w:val="18"/>
          <w:szCs w:val="18"/>
        </w:rPr>
        <w:t xml:space="preserve"> appellants' contention was, however, that </w:t>
      </w:r>
      <w:proofErr w:type="spellStart"/>
      <w:r w:rsidRPr="00275A7A">
        <w:rPr>
          <w:rFonts w:ascii="Verdana" w:eastAsia="Times New Roman" w:hAnsi="Verdana" w:cs="Times New Roman"/>
          <w:color w:val="000000"/>
          <w:sz w:val="18"/>
          <w:szCs w:val="18"/>
        </w:rPr>
        <w:t>Wessels</w:t>
      </w:r>
      <w:proofErr w:type="spellEnd"/>
      <w:r w:rsidRPr="00275A7A">
        <w:rPr>
          <w:rFonts w:ascii="Verdana" w:eastAsia="Times New Roman" w:hAnsi="Verdana" w:cs="Times New Roman"/>
          <w:color w:val="000000"/>
          <w:sz w:val="18"/>
          <w:szCs w:val="18"/>
        </w:rPr>
        <w:t xml:space="preserve">' testimony is inadmissible. Since the trust deed was intended to provide a complete memorial of the agreement that it recorded, extrinsic evidence may not contradict, add to or modify its meaning. In support of this contention they relied on </w:t>
      </w:r>
      <w:r w:rsidRPr="00275A7A">
        <w:rPr>
          <w:rFonts w:ascii="Verdana" w:eastAsia="Times New Roman" w:hAnsi="Verdana" w:cs="Times New Roman"/>
          <w:i/>
          <w:iCs/>
          <w:color w:val="000000"/>
          <w:sz w:val="18"/>
          <w:szCs w:val="18"/>
        </w:rPr>
        <w:t xml:space="preserve">KPMG Chartered Accountants (SA) v </w:t>
      </w:r>
      <w:proofErr w:type="spellStart"/>
      <w:r w:rsidRPr="00275A7A">
        <w:rPr>
          <w:rFonts w:ascii="Verdana" w:eastAsia="Times New Roman" w:hAnsi="Verdana" w:cs="Times New Roman"/>
          <w:i/>
          <w:iCs/>
          <w:color w:val="000000"/>
          <w:sz w:val="18"/>
          <w:szCs w:val="18"/>
        </w:rPr>
        <w:t>Securefin</w:t>
      </w:r>
      <w:proofErr w:type="spellEnd"/>
      <w:r w:rsidRPr="00275A7A">
        <w:rPr>
          <w:rFonts w:ascii="Verdana" w:eastAsia="Times New Roman" w:hAnsi="Verdana" w:cs="Times New Roman"/>
          <w:i/>
          <w:iCs/>
          <w:color w:val="000000"/>
          <w:sz w:val="18"/>
          <w:szCs w:val="18"/>
        </w:rPr>
        <w:t xml:space="preserve"> Ltd </w:t>
      </w:r>
      <w:r w:rsidRPr="00275A7A">
        <w:rPr>
          <w:rFonts w:ascii="Verdana" w:eastAsia="Times New Roman" w:hAnsi="Verdana" w:cs="Times New Roman"/>
          <w:color w:val="000000"/>
          <w:sz w:val="18"/>
          <w:szCs w:val="18"/>
        </w:rPr>
        <w:t xml:space="preserve">2009 (4) SA 399 (SCA) paragraph 39 [also reported at </w:t>
      </w:r>
      <w:hyperlink r:id="rId8" w:anchor="g0" w:history="1">
        <w:r w:rsidRPr="00275A7A">
          <w:rPr>
            <w:rFonts w:ascii="Verdana" w:eastAsia="Times New Roman" w:hAnsi="Verdana" w:cs="Times New Roman"/>
            <w:color w:val="008000"/>
            <w:sz w:val="18"/>
            <w:szCs w:val="18"/>
            <w:u w:val="single"/>
          </w:rPr>
          <w:t>[2009] 2 All SA 523 (SCA)</w:t>
        </w:r>
      </w:hyperlink>
      <w:r w:rsidRPr="00275A7A">
        <w:rPr>
          <w:rFonts w:ascii="Verdana" w:eastAsia="Times New Roman" w:hAnsi="Verdana" w:cs="Times New Roman"/>
          <w:color w:val="000000"/>
          <w:sz w:val="18"/>
          <w:szCs w:val="18"/>
        </w:rPr>
        <w:t xml:space="preserve"> – Ed]. This argument found </w:t>
      </w:r>
      <w:proofErr w:type="spellStart"/>
      <w:r w:rsidRPr="00275A7A">
        <w:rPr>
          <w:rFonts w:ascii="Verdana" w:eastAsia="Times New Roman" w:hAnsi="Verdana" w:cs="Times New Roman"/>
          <w:color w:val="000000"/>
          <w:sz w:val="18"/>
          <w:szCs w:val="18"/>
        </w:rPr>
        <w:t>favour</w:t>
      </w:r>
      <w:proofErr w:type="spellEnd"/>
      <w:r w:rsidRPr="00275A7A">
        <w:rPr>
          <w:rFonts w:ascii="Verdana" w:eastAsia="Times New Roman" w:hAnsi="Verdana" w:cs="Times New Roman"/>
          <w:color w:val="000000"/>
          <w:sz w:val="18"/>
          <w:szCs w:val="18"/>
        </w:rPr>
        <w:t xml:space="preserve"> with the court </w:t>
      </w:r>
      <w:r w:rsidRPr="00275A7A">
        <w:rPr>
          <w:rFonts w:ascii="Verdana" w:eastAsia="Times New Roman" w:hAnsi="Verdana" w:cs="Times New Roman"/>
          <w:i/>
          <w:iCs/>
          <w:color w:val="000000"/>
          <w:sz w:val="18"/>
          <w:szCs w:val="18"/>
        </w:rPr>
        <w:t xml:space="preserve">a quo </w:t>
      </w:r>
      <w:r w:rsidRPr="00275A7A">
        <w:rPr>
          <w:rFonts w:ascii="Verdana" w:eastAsia="Times New Roman" w:hAnsi="Verdana" w:cs="Times New Roman"/>
          <w:color w:val="000000"/>
          <w:sz w:val="18"/>
          <w:szCs w:val="18"/>
        </w:rPr>
        <w:t xml:space="preserve">and I believe rightly so. However, as I see it, there is an even shorter answer to the respondents' case based on the testimony of </w:t>
      </w:r>
      <w:proofErr w:type="spellStart"/>
      <w:r w:rsidRPr="00275A7A">
        <w:rPr>
          <w:rFonts w:ascii="Verdana" w:eastAsia="Times New Roman" w:hAnsi="Verdana" w:cs="Times New Roman"/>
          <w:color w:val="000000"/>
          <w:sz w:val="18"/>
          <w:szCs w:val="18"/>
        </w:rPr>
        <w:t>Wessels</w:t>
      </w:r>
      <w:proofErr w:type="spellEnd"/>
      <w:r w:rsidRPr="00275A7A">
        <w:rPr>
          <w:rFonts w:ascii="Verdana" w:eastAsia="Times New Roman" w:hAnsi="Verdana" w:cs="Times New Roman"/>
          <w:color w:val="000000"/>
          <w:sz w:val="18"/>
          <w:szCs w:val="18"/>
        </w:rPr>
        <w:t xml:space="preserve">. It is this. There is no reason to think that the deceased, who was by all accounts a careful and astute businessman, had </w:t>
      </w:r>
      <w:proofErr w:type="spellStart"/>
      <w:r w:rsidRPr="00275A7A">
        <w:rPr>
          <w:rFonts w:ascii="Verdana" w:eastAsia="Times New Roman" w:hAnsi="Verdana" w:cs="Times New Roman"/>
          <w:color w:val="000000"/>
          <w:sz w:val="18"/>
          <w:szCs w:val="18"/>
        </w:rPr>
        <w:t>realised</w:t>
      </w:r>
      <w:proofErr w:type="spellEnd"/>
      <w:r w:rsidRPr="00275A7A">
        <w:rPr>
          <w:rFonts w:ascii="Verdana" w:eastAsia="Times New Roman" w:hAnsi="Verdana" w:cs="Times New Roman"/>
          <w:color w:val="000000"/>
          <w:sz w:val="18"/>
          <w:szCs w:val="18"/>
        </w:rPr>
        <w:t xml:space="preserve"> that his attorney wanted him to confirm a meaningless statement in a formal document which was </w:t>
      </w:r>
    </w:p>
    <w:p w:rsidR="00275A7A" w:rsidRPr="00275A7A" w:rsidRDefault="00275A7A" w:rsidP="00275A7A">
      <w:pPr>
        <w:spacing w:before="360" w:after="0" w:line="240" w:lineRule="auto"/>
        <w:rPr>
          <w:rFonts w:ascii="Verdana" w:eastAsia="Times New Roman" w:hAnsi="Verdana" w:cs="Times New Roman"/>
          <w:b/>
          <w:bCs/>
          <w:color w:val="000000"/>
          <w:sz w:val="16"/>
          <w:szCs w:val="16"/>
        </w:rPr>
      </w:pPr>
      <w:r w:rsidRPr="00275A7A">
        <w:rPr>
          <w:rFonts w:ascii="Verdana" w:eastAsia="Times New Roman" w:hAnsi="Verdana" w:cs="Times New Roman"/>
          <w:b/>
          <w:bCs/>
          <w:color w:val="000000"/>
          <w:sz w:val="16"/>
          <w:szCs w:val="16"/>
        </w:rPr>
        <w:t>Page 14 of [2011] JOL 27892 (SCA)</w:t>
      </w:r>
    </w:p>
    <w:p w:rsidR="00275A7A" w:rsidRPr="00275A7A" w:rsidRDefault="00275A7A" w:rsidP="00275A7A">
      <w:pPr>
        <w:spacing w:before="180" w:after="0" w:line="240" w:lineRule="auto"/>
        <w:jc w:val="both"/>
        <w:rPr>
          <w:rFonts w:ascii="Verdana" w:eastAsia="Times New Roman" w:hAnsi="Verdana" w:cs="Times New Roman"/>
          <w:color w:val="000000"/>
          <w:sz w:val="18"/>
          <w:szCs w:val="18"/>
        </w:rPr>
      </w:pPr>
      <w:proofErr w:type="gramStart"/>
      <w:r w:rsidRPr="00275A7A">
        <w:rPr>
          <w:rFonts w:ascii="Verdana" w:eastAsia="Times New Roman" w:hAnsi="Verdana" w:cs="Times New Roman"/>
          <w:color w:val="000000"/>
          <w:sz w:val="18"/>
          <w:szCs w:val="18"/>
        </w:rPr>
        <w:t>destined</w:t>
      </w:r>
      <w:proofErr w:type="gramEnd"/>
      <w:r w:rsidRPr="00275A7A">
        <w:rPr>
          <w:rFonts w:ascii="Verdana" w:eastAsia="Times New Roman" w:hAnsi="Verdana" w:cs="Times New Roman"/>
          <w:color w:val="000000"/>
          <w:sz w:val="18"/>
          <w:szCs w:val="18"/>
        </w:rPr>
        <w:t xml:space="preserve"> to be </w:t>
      </w:r>
      <w:proofErr w:type="spellStart"/>
      <w:r w:rsidRPr="00275A7A">
        <w:rPr>
          <w:rFonts w:ascii="Verdana" w:eastAsia="Times New Roman" w:hAnsi="Verdana" w:cs="Times New Roman"/>
          <w:color w:val="000000"/>
          <w:sz w:val="18"/>
          <w:szCs w:val="18"/>
        </w:rPr>
        <w:t>notarially</w:t>
      </w:r>
      <w:proofErr w:type="spellEnd"/>
      <w:r w:rsidRPr="00275A7A">
        <w:rPr>
          <w:rFonts w:ascii="Verdana" w:eastAsia="Times New Roman" w:hAnsi="Verdana" w:cs="Times New Roman"/>
          <w:color w:val="000000"/>
          <w:sz w:val="18"/>
          <w:szCs w:val="18"/>
        </w:rPr>
        <w:t xml:space="preserve"> executed. On the contrary, the fact that the deceased had </w:t>
      </w:r>
      <w:proofErr w:type="spellStart"/>
      <w:r w:rsidRPr="00275A7A">
        <w:rPr>
          <w:rFonts w:ascii="Verdana" w:eastAsia="Times New Roman" w:hAnsi="Verdana" w:cs="Times New Roman"/>
          <w:color w:val="000000"/>
          <w:sz w:val="18"/>
          <w:szCs w:val="18"/>
        </w:rPr>
        <w:t>initialled</w:t>
      </w:r>
      <w:proofErr w:type="spellEnd"/>
      <w:r w:rsidRPr="00275A7A">
        <w:rPr>
          <w:rFonts w:ascii="Verdana" w:eastAsia="Times New Roman" w:hAnsi="Verdana" w:cs="Times New Roman"/>
          <w:color w:val="000000"/>
          <w:sz w:val="18"/>
          <w:szCs w:val="18"/>
        </w:rPr>
        <w:t xml:space="preserve"> every page of the document that was to be </w:t>
      </w:r>
      <w:proofErr w:type="spellStart"/>
      <w:r w:rsidRPr="00275A7A">
        <w:rPr>
          <w:rFonts w:ascii="Verdana" w:eastAsia="Times New Roman" w:hAnsi="Verdana" w:cs="Times New Roman"/>
          <w:color w:val="000000"/>
          <w:sz w:val="18"/>
          <w:szCs w:val="18"/>
        </w:rPr>
        <w:t>notarially</w:t>
      </w:r>
      <w:proofErr w:type="spellEnd"/>
      <w:r w:rsidRPr="00275A7A">
        <w:rPr>
          <w:rFonts w:ascii="Verdana" w:eastAsia="Times New Roman" w:hAnsi="Verdana" w:cs="Times New Roman"/>
          <w:color w:val="000000"/>
          <w:sz w:val="18"/>
          <w:szCs w:val="18"/>
        </w:rPr>
        <w:t xml:space="preserve"> executed, gave rise to the presumption of fact that he intended to confirm the pronouncement embodied in that document (see </w:t>
      </w:r>
      <w:proofErr w:type="spellStart"/>
      <w:r w:rsidRPr="00275A7A">
        <w:rPr>
          <w:rFonts w:ascii="Verdana" w:eastAsia="Times New Roman" w:hAnsi="Verdana" w:cs="Times New Roman"/>
          <w:color w:val="000000"/>
          <w:sz w:val="18"/>
          <w:szCs w:val="18"/>
        </w:rPr>
        <w:t>eg</w:t>
      </w:r>
      <w:proofErr w:type="spellEnd"/>
      <w:r w:rsidRPr="00275A7A">
        <w:rPr>
          <w:rFonts w:ascii="Verdana" w:eastAsia="Times New Roman" w:hAnsi="Verdana" w:cs="Times New Roman"/>
          <w:color w:val="000000"/>
          <w:sz w:val="18"/>
          <w:szCs w:val="18"/>
        </w:rPr>
        <w:t xml:space="preserve"> </w:t>
      </w:r>
      <w:r w:rsidRPr="00275A7A">
        <w:rPr>
          <w:rFonts w:ascii="Verdana" w:eastAsia="Times New Roman" w:hAnsi="Verdana" w:cs="Times New Roman"/>
          <w:i/>
          <w:iCs/>
          <w:color w:val="000000"/>
          <w:sz w:val="18"/>
          <w:szCs w:val="18"/>
        </w:rPr>
        <w:t xml:space="preserve">Glen </w:t>
      </w:r>
      <w:proofErr w:type="spellStart"/>
      <w:r w:rsidRPr="00275A7A">
        <w:rPr>
          <w:rFonts w:ascii="Verdana" w:eastAsia="Times New Roman" w:hAnsi="Verdana" w:cs="Times New Roman"/>
          <w:i/>
          <w:iCs/>
          <w:color w:val="000000"/>
          <w:sz w:val="18"/>
          <w:szCs w:val="18"/>
        </w:rPr>
        <w:t>Comeragh</w:t>
      </w:r>
      <w:proofErr w:type="spellEnd"/>
      <w:r w:rsidRPr="00275A7A">
        <w:rPr>
          <w:rFonts w:ascii="Verdana" w:eastAsia="Times New Roman" w:hAnsi="Verdana" w:cs="Times New Roman"/>
          <w:i/>
          <w:iCs/>
          <w:color w:val="000000"/>
          <w:sz w:val="18"/>
          <w:szCs w:val="18"/>
        </w:rPr>
        <w:t xml:space="preserve"> (Pty) Ltd v </w:t>
      </w:r>
      <w:proofErr w:type="spellStart"/>
      <w:r w:rsidRPr="00275A7A">
        <w:rPr>
          <w:rFonts w:ascii="Verdana" w:eastAsia="Times New Roman" w:hAnsi="Verdana" w:cs="Times New Roman"/>
          <w:i/>
          <w:iCs/>
          <w:color w:val="000000"/>
          <w:sz w:val="18"/>
          <w:szCs w:val="18"/>
        </w:rPr>
        <w:t>Colibri</w:t>
      </w:r>
      <w:proofErr w:type="spellEnd"/>
      <w:r w:rsidRPr="00275A7A">
        <w:rPr>
          <w:rFonts w:ascii="Verdana" w:eastAsia="Times New Roman" w:hAnsi="Verdana" w:cs="Times New Roman"/>
          <w:i/>
          <w:iCs/>
          <w:color w:val="000000"/>
          <w:sz w:val="18"/>
          <w:szCs w:val="18"/>
        </w:rPr>
        <w:t xml:space="preserve"> (Pty) Ltd </w:t>
      </w:r>
      <w:r w:rsidRPr="00275A7A">
        <w:rPr>
          <w:rFonts w:ascii="Verdana" w:eastAsia="Times New Roman" w:hAnsi="Verdana" w:cs="Times New Roman"/>
          <w:color w:val="000000"/>
          <w:sz w:val="18"/>
          <w:szCs w:val="18"/>
        </w:rPr>
        <w:t xml:space="preserve">1979 (3) SA 210 (T) at 216A – C [also reported at </w:t>
      </w:r>
      <w:hyperlink r:id="rId9" w:anchor="g0" w:history="1">
        <w:r w:rsidRPr="00275A7A">
          <w:rPr>
            <w:rFonts w:ascii="Verdana" w:eastAsia="Times New Roman" w:hAnsi="Verdana" w:cs="Times New Roman"/>
            <w:color w:val="008000"/>
            <w:sz w:val="18"/>
            <w:szCs w:val="18"/>
            <w:u w:val="single"/>
          </w:rPr>
          <w:t>[1979] 4 All SA 321 (T)</w:t>
        </w:r>
      </w:hyperlink>
      <w:r w:rsidRPr="00275A7A">
        <w:rPr>
          <w:rFonts w:ascii="Verdana" w:eastAsia="Times New Roman" w:hAnsi="Verdana" w:cs="Times New Roman"/>
          <w:color w:val="000000"/>
          <w:sz w:val="18"/>
          <w:szCs w:val="18"/>
        </w:rPr>
        <w:t xml:space="preserve"> – Ed], </w:t>
      </w:r>
      <w:r w:rsidRPr="00275A7A">
        <w:rPr>
          <w:rFonts w:ascii="Verdana" w:eastAsia="Times New Roman" w:hAnsi="Verdana" w:cs="Times New Roman"/>
          <w:color w:val="000000"/>
          <w:sz w:val="18"/>
          <w:szCs w:val="18"/>
        </w:rPr>
        <w:lastRenderedPageBreak/>
        <w:t xml:space="preserve">referred to with approval by Harms DP in </w:t>
      </w:r>
      <w:r w:rsidRPr="00275A7A">
        <w:rPr>
          <w:rFonts w:ascii="Verdana" w:eastAsia="Times New Roman" w:hAnsi="Verdana" w:cs="Times New Roman"/>
          <w:i/>
          <w:iCs/>
          <w:color w:val="000000"/>
          <w:sz w:val="18"/>
          <w:szCs w:val="18"/>
        </w:rPr>
        <w:t xml:space="preserve">KPMG Chartered Accountants (SA) v </w:t>
      </w:r>
      <w:proofErr w:type="spellStart"/>
      <w:r w:rsidRPr="00275A7A">
        <w:rPr>
          <w:rFonts w:ascii="Verdana" w:eastAsia="Times New Roman" w:hAnsi="Verdana" w:cs="Times New Roman"/>
          <w:i/>
          <w:iCs/>
          <w:color w:val="000000"/>
          <w:sz w:val="18"/>
          <w:szCs w:val="18"/>
        </w:rPr>
        <w:t>Securefin</w:t>
      </w:r>
      <w:proofErr w:type="spellEnd"/>
      <w:r w:rsidRPr="00275A7A">
        <w:rPr>
          <w:rFonts w:ascii="Verdana" w:eastAsia="Times New Roman" w:hAnsi="Verdana" w:cs="Times New Roman"/>
          <w:i/>
          <w:iCs/>
          <w:color w:val="000000"/>
          <w:sz w:val="18"/>
          <w:szCs w:val="18"/>
        </w:rPr>
        <w:t xml:space="preserve"> Ltd</w:t>
      </w:r>
      <w:r w:rsidRPr="00275A7A">
        <w:rPr>
          <w:rFonts w:ascii="Verdana" w:eastAsia="Times New Roman" w:hAnsi="Verdana" w:cs="Times New Roman"/>
          <w:color w:val="000000"/>
          <w:sz w:val="18"/>
          <w:szCs w:val="18"/>
        </w:rPr>
        <w:t xml:space="preserve">, </w:t>
      </w:r>
      <w:r w:rsidRPr="00275A7A">
        <w:rPr>
          <w:rFonts w:ascii="Verdana" w:eastAsia="Times New Roman" w:hAnsi="Verdana" w:cs="Times New Roman"/>
          <w:i/>
          <w:iCs/>
          <w:color w:val="000000"/>
          <w:sz w:val="18"/>
          <w:szCs w:val="18"/>
        </w:rPr>
        <w:t>supra</w:t>
      </w:r>
      <w:r w:rsidRPr="00275A7A">
        <w:rPr>
          <w:rFonts w:ascii="Verdana" w:eastAsia="Times New Roman" w:hAnsi="Verdana" w:cs="Times New Roman"/>
          <w:color w:val="000000"/>
          <w:sz w:val="18"/>
          <w:szCs w:val="18"/>
        </w:rPr>
        <w:t>, paragraph 28). Moreover, common sense dictates that at that stage the deceased indeed intended to give effect to this essential purpose for the creation of the trust by accepting the benefits conferred upon his two minor children on their behalf. Absent any evidence to the contrary, it must therefore be accepted as an established fact that the deceased intended to confirm the contents of the document that he signed.</w:t>
      </w:r>
    </w:p>
    <w:p w:rsidR="00275A7A" w:rsidRPr="00275A7A" w:rsidRDefault="00275A7A" w:rsidP="00275A7A">
      <w:pPr>
        <w:spacing w:before="180" w:after="0" w:line="240" w:lineRule="auto"/>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[22</w:t>
      </w:r>
      <w:proofErr w:type="gramStart"/>
      <w:r w:rsidRPr="00275A7A">
        <w:rPr>
          <w:rFonts w:ascii="Verdana" w:eastAsia="Times New Roman" w:hAnsi="Verdana" w:cs="Times New Roman"/>
          <w:color w:val="000000"/>
          <w:sz w:val="18"/>
          <w:szCs w:val="18"/>
        </w:rPr>
        <w:t>]  In</w:t>
      </w:r>
      <w:proofErr w:type="gramEnd"/>
      <w:r w:rsidRPr="00275A7A">
        <w:rPr>
          <w:rFonts w:ascii="Verdana" w:eastAsia="Times New Roman" w:hAnsi="Verdana" w:cs="Times New Roman"/>
          <w:color w:val="000000"/>
          <w:sz w:val="18"/>
          <w:szCs w:val="18"/>
        </w:rPr>
        <w:t xml:space="preserve"> this light, the pronouncement in the preamble cannot be ignored. It must be given some meaning. That raises the question as to what meaning the pronouncement can possibly bear, other than confirmation by the deceased that he accepted the benefits conferred by the trust deed on behalf of his two minor children. Though the respondents contended that the contents of the pronouncement are vague, they could suggest no alternative meaning and I can think of none. After all, only two capital beneficiaries were expressly named in the trust deed. Confirmation that these beneficiaries had accepted the benefits conferred upon them could therefore refer to no-one else. As a matter of law, their father and natural guardian had authority to accept these benefits on their behalf and that is plainly what he intended to confirm. This is why I say that, in the circumstances, the pronouncement can have no other sensible meaning than the one contended for by the appellants. Thus understood, the laconic statement by Pretorius, that the deceased never expressly stated that he intended to accept the benefits on behalf of the appellants when he signed the trust deed, becomes meaningless. The real question is whether there is evidence that the deceased did not intend to do so and, as I have indicated, there is none.</w:t>
      </w:r>
    </w:p>
    <w:p w:rsidR="00275A7A" w:rsidRPr="00275A7A" w:rsidRDefault="00275A7A" w:rsidP="00275A7A">
      <w:pPr>
        <w:spacing w:before="360" w:after="0" w:line="240" w:lineRule="auto"/>
        <w:rPr>
          <w:rFonts w:ascii="Verdana" w:eastAsia="Times New Roman" w:hAnsi="Verdana" w:cs="Times New Roman"/>
          <w:b/>
          <w:bCs/>
          <w:color w:val="000000"/>
          <w:sz w:val="16"/>
          <w:szCs w:val="16"/>
        </w:rPr>
      </w:pPr>
      <w:r w:rsidRPr="00275A7A">
        <w:rPr>
          <w:rFonts w:ascii="Verdana" w:eastAsia="Times New Roman" w:hAnsi="Verdana" w:cs="Times New Roman"/>
          <w:b/>
          <w:bCs/>
          <w:color w:val="000000"/>
          <w:sz w:val="16"/>
          <w:szCs w:val="16"/>
        </w:rPr>
        <w:t>Page 15 of [2011] JOL 27892 (SCA)</w:t>
      </w:r>
    </w:p>
    <w:p w:rsidR="00275A7A" w:rsidRPr="00275A7A" w:rsidRDefault="00275A7A" w:rsidP="00275A7A">
      <w:pPr>
        <w:spacing w:before="180" w:after="0" w:line="240" w:lineRule="auto"/>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[23</w:t>
      </w:r>
      <w:proofErr w:type="gramStart"/>
      <w:r w:rsidRPr="00275A7A">
        <w:rPr>
          <w:rFonts w:ascii="Verdana" w:eastAsia="Times New Roman" w:hAnsi="Verdana" w:cs="Times New Roman"/>
          <w:color w:val="000000"/>
          <w:sz w:val="18"/>
          <w:szCs w:val="18"/>
        </w:rPr>
        <w:t>]  Assuming</w:t>
      </w:r>
      <w:proofErr w:type="gramEnd"/>
      <w:r w:rsidRPr="00275A7A">
        <w:rPr>
          <w:rFonts w:ascii="Verdana" w:eastAsia="Times New Roman" w:hAnsi="Verdana" w:cs="Times New Roman"/>
          <w:color w:val="000000"/>
          <w:sz w:val="18"/>
          <w:szCs w:val="18"/>
        </w:rPr>
        <w:t xml:space="preserve">, however, for the sake of argument, that the respondents are correct in saying that the meaning of the pronouncement is vague and ambiguous, I agree with the appellants' argument that the interpretation for which they contend is supported by the minutes of a meeting which took place on 18 August 2003. These minutes were prepared by </w:t>
      </w:r>
      <w:proofErr w:type="spellStart"/>
      <w:r w:rsidRPr="00275A7A">
        <w:rPr>
          <w:rFonts w:ascii="Verdana" w:eastAsia="Times New Roman" w:hAnsi="Verdana" w:cs="Times New Roman"/>
          <w:color w:val="000000"/>
          <w:sz w:val="18"/>
          <w:szCs w:val="18"/>
        </w:rPr>
        <w:t>Wessels</w:t>
      </w:r>
      <w:proofErr w:type="spellEnd"/>
      <w:r w:rsidRPr="00275A7A">
        <w:rPr>
          <w:rFonts w:ascii="Verdana" w:eastAsia="Times New Roman" w:hAnsi="Verdana" w:cs="Times New Roman"/>
          <w:color w:val="000000"/>
          <w:sz w:val="18"/>
          <w:szCs w:val="18"/>
        </w:rPr>
        <w:t xml:space="preserve"> as a formal document and signed by those who attended. They reflected that:</w:t>
      </w:r>
    </w:p>
    <w:p w:rsidR="00275A7A" w:rsidRPr="00275A7A" w:rsidRDefault="00275A7A" w:rsidP="00275A7A">
      <w:pPr>
        <w:spacing w:before="180" w:after="0" w:line="240" w:lineRule="auto"/>
        <w:ind w:left="567" w:hanging="567"/>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(a)</w:t>
      </w:r>
    </w:p>
    <w:p w:rsidR="00275A7A" w:rsidRPr="00275A7A" w:rsidRDefault="00275A7A" w:rsidP="00275A7A">
      <w:pPr>
        <w:spacing w:after="0" w:line="240" w:lineRule="auto"/>
        <w:ind w:left="567"/>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Apart from the three trustees at the time, it was attended by the first appellant in his capacity as one of the capital and income beneficiaries. Because he was still a minor at the time, so the minutes recorded, he was duly assisted by the deceased as his father and natural guardian.</w:t>
      </w:r>
    </w:p>
    <w:p w:rsidR="00275A7A" w:rsidRPr="00275A7A" w:rsidRDefault="00275A7A" w:rsidP="00275A7A">
      <w:pPr>
        <w:spacing w:before="180" w:after="0" w:line="240" w:lineRule="auto"/>
        <w:ind w:left="567" w:hanging="567"/>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(b)</w:t>
      </w:r>
    </w:p>
    <w:p w:rsidR="00275A7A" w:rsidRPr="00275A7A" w:rsidRDefault="00275A7A" w:rsidP="00275A7A">
      <w:pPr>
        <w:spacing w:after="0" w:line="240" w:lineRule="auto"/>
        <w:ind w:left="567"/>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The second appellant, who by then had reached majority status through marriage, could not attend. But, so the minutes stated, as the other capital and income beneficiary, she was represented by the deceased and the deliberations and discussions at the meeting were conveyed to her telephonically.</w:t>
      </w:r>
    </w:p>
    <w:p w:rsidR="00275A7A" w:rsidRPr="00275A7A" w:rsidRDefault="00275A7A" w:rsidP="00275A7A">
      <w:pPr>
        <w:spacing w:before="180" w:after="0" w:line="240" w:lineRule="auto"/>
        <w:ind w:left="567" w:hanging="567"/>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(c)</w:t>
      </w:r>
    </w:p>
    <w:p w:rsidR="00275A7A" w:rsidRPr="00275A7A" w:rsidRDefault="00275A7A" w:rsidP="00275A7A">
      <w:pPr>
        <w:spacing w:after="0" w:line="240" w:lineRule="auto"/>
        <w:ind w:left="567"/>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 xml:space="preserve">The deceased, purely for purposes of settling the divorce and without admitting any liability to do so, was prepared to accede to the claim of the appellants' mother that a trust asset, described as a portion of the farm </w:t>
      </w:r>
      <w:proofErr w:type="spellStart"/>
      <w:r w:rsidRPr="00275A7A">
        <w:rPr>
          <w:rFonts w:ascii="Verdana" w:eastAsia="Times New Roman" w:hAnsi="Verdana" w:cs="Times New Roman"/>
          <w:color w:val="000000"/>
          <w:sz w:val="18"/>
          <w:szCs w:val="18"/>
        </w:rPr>
        <w:t>Naboomspruit</w:t>
      </w:r>
      <w:proofErr w:type="spellEnd"/>
      <w:r w:rsidRPr="00275A7A">
        <w:rPr>
          <w:rFonts w:ascii="Verdana" w:eastAsia="Times New Roman" w:hAnsi="Verdana" w:cs="Times New Roman"/>
          <w:color w:val="000000"/>
          <w:sz w:val="18"/>
          <w:szCs w:val="18"/>
        </w:rPr>
        <w:t>, be transferred to her.</w:t>
      </w:r>
    </w:p>
    <w:p w:rsidR="00275A7A" w:rsidRPr="00275A7A" w:rsidRDefault="00275A7A" w:rsidP="00275A7A">
      <w:pPr>
        <w:spacing w:before="180" w:after="0" w:line="240" w:lineRule="auto"/>
        <w:ind w:left="567" w:hanging="567"/>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(d)</w:t>
      </w:r>
    </w:p>
    <w:p w:rsidR="00275A7A" w:rsidRPr="00275A7A" w:rsidRDefault="00275A7A" w:rsidP="00275A7A">
      <w:pPr>
        <w:spacing w:after="0" w:line="240" w:lineRule="auto"/>
        <w:ind w:left="567"/>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The deceased, for settlement purposes, was thus prepared to purchase that asset from the trust for R1 million.</w:t>
      </w:r>
    </w:p>
    <w:p w:rsidR="00275A7A" w:rsidRPr="00275A7A" w:rsidRDefault="00275A7A" w:rsidP="00275A7A">
      <w:pPr>
        <w:spacing w:before="180" w:after="0" w:line="240" w:lineRule="auto"/>
        <w:ind w:left="567" w:hanging="567"/>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(e)</w:t>
      </w:r>
    </w:p>
    <w:p w:rsidR="00275A7A" w:rsidRPr="00275A7A" w:rsidRDefault="00275A7A" w:rsidP="00275A7A">
      <w:pPr>
        <w:spacing w:after="0" w:line="240" w:lineRule="auto"/>
        <w:ind w:left="567"/>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The issue of the sale of the trust property was "intensely discussed" and "the trustees decided, with the consent of the income and capital beneficiaries" to sell and transfer the property to the appellants' mother as soon as a settlement had been reached in the divorce whereupon the deceased would pay the R1 million to the trust.</w:t>
      </w:r>
    </w:p>
    <w:p w:rsidR="00275A7A" w:rsidRPr="00275A7A" w:rsidRDefault="00275A7A" w:rsidP="00275A7A">
      <w:pPr>
        <w:spacing w:before="180" w:after="0" w:line="240" w:lineRule="auto"/>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[24</w:t>
      </w:r>
      <w:proofErr w:type="gramStart"/>
      <w:r w:rsidRPr="00275A7A">
        <w:rPr>
          <w:rFonts w:ascii="Verdana" w:eastAsia="Times New Roman" w:hAnsi="Verdana" w:cs="Times New Roman"/>
          <w:color w:val="000000"/>
          <w:sz w:val="18"/>
          <w:szCs w:val="18"/>
        </w:rPr>
        <w:t>]  The</w:t>
      </w:r>
      <w:proofErr w:type="gramEnd"/>
      <w:r w:rsidRPr="00275A7A">
        <w:rPr>
          <w:rFonts w:ascii="Verdana" w:eastAsia="Times New Roman" w:hAnsi="Verdana" w:cs="Times New Roman"/>
          <w:color w:val="000000"/>
          <w:sz w:val="18"/>
          <w:szCs w:val="18"/>
        </w:rPr>
        <w:t xml:space="preserve"> respondents' answers to the appellants' reliance on these minutes are twofold. The first is founded in law and the second based on fact. For their answer founded in law, the respondents relied on the </w:t>
      </w:r>
      <w:proofErr w:type="spellStart"/>
      <w:r w:rsidRPr="00275A7A">
        <w:rPr>
          <w:rFonts w:ascii="Verdana" w:eastAsia="Times New Roman" w:hAnsi="Verdana" w:cs="Times New Roman"/>
          <w:color w:val="000000"/>
          <w:sz w:val="18"/>
          <w:szCs w:val="18"/>
        </w:rPr>
        <w:t>parol</w:t>
      </w:r>
      <w:proofErr w:type="spellEnd"/>
      <w:r w:rsidRPr="00275A7A">
        <w:rPr>
          <w:rFonts w:ascii="Verdana" w:eastAsia="Times New Roman" w:hAnsi="Verdana" w:cs="Times New Roman"/>
          <w:color w:val="000000"/>
          <w:sz w:val="18"/>
          <w:szCs w:val="18"/>
        </w:rPr>
        <w:t xml:space="preserve"> evidence rule. If </w:t>
      </w:r>
    </w:p>
    <w:p w:rsidR="00275A7A" w:rsidRPr="00275A7A" w:rsidRDefault="00275A7A" w:rsidP="00275A7A">
      <w:pPr>
        <w:spacing w:before="360" w:after="0" w:line="240" w:lineRule="auto"/>
        <w:rPr>
          <w:rFonts w:ascii="Verdana" w:eastAsia="Times New Roman" w:hAnsi="Verdana" w:cs="Times New Roman"/>
          <w:b/>
          <w:bCs/>
          <w:color w:val="000000"/>
          <w:sz w:val="16"/>
          <w:szCs w:val="16"/>
        </w:rPr>
      </w:pPr>
      <w:r w:rsidRPr="00275A7A">
        <w:rPr>
          <w:rFonts w:ascii="Verdana" w:eastAsia="Times New Roman" w:hAnsi="Verdana" w:cs="Times New Roman"/>
          <w:b/>
          <w:bCs/>
          <w:color w:val="000000"/>
          <w:sz w:val="16"/>
          <w:szCs w:val="16"/>
        </w:rPr>
        <w:lastRenderedPageBreak/>
        <w:t>Page 16 of [2011] JOL 27892 (SCA)</w:t>
      </w:r>
    </w:p>
    <w:p w:rsidR="00275A7A" w:rsidRPr="00275A7A" w:rsidRDefault="00275A7A" w:rsidP="00275A7A">
      <w:pPr>
        <w:spacing w:before="180" w:after="0" w:line="240" w:lineRule="auto"/>
        <w:jc w:val="both"/>
        <w:rPr>
          <w:rFonts w:ascii="Verdana" w:eastAsia="Times New Roman" w:hAnsi="Verdana" w:cs="Times New Roman"/>
          <w:color w:val="000000"/>
          <w:sz w:val="18"/>
          <w:szCs w:val="18"/>
        </w:rPr>
      </w:pPr>
      <w:proofErr w:type="spellStart"/>
      <w:r w:rsidRPr="00275A7A">
        <w:rPr>
          <w:rFonts w:ascii="Verdana" w:eastAsia="Times New Roman" w:hAnsi="Verdana" w:cs="Times New Roman"/>
          <w:color w:val="000000"/>
          <w:sz w:val="18"/>
          <w:szCs w:val="18"/>
        </w:rPr>
        <w:t>Wessels</w:t>
      </w:r>
      <w:proofErr w:type="spellEnd"/>
      <w:r w:rsidRPr="00275A7A">
        <w:rPr>
          <w:rFonts w:ascii="Verdana" w:eastAsia="Times New Roman" w:hAnsi="Verdana" w:cs="Times New Roman"/>
          <w:color w:val="000000"/>
          <w:sz w:val="18"/>
          <w:szCs w:val="18"/>
        </w:rPr>
        <w:t xml:space="preserve">' evidence with regard to the contents of the trust deed is inadmissible for non-compliance with the </w:t>
      </w:r>
      <w:proofErr w:type="spellStart"/>
      <w:r w:rsidRPr="00275A7A">
        <w:rPr>
          <w:rFonts w:ascii="Verdana" w:eastAsia="Times New Roman" w:hAnsi="Verdana" w:cs="Times New Roman"/>
          <w:color w:val="000000"/>
          <w:sz w:val="18"/>
          <w:szCs w:val="18"/>
        </w:rPr>
        <w:t>parol</w:t>
      </w:r>
      <w:proofErr w:type="spellEnd"/>
      <w:r w:rsidRPr="00275A7A">
        <w:rPr>
          <w:rFonts w:ascii="Verdana" w:eastAsia="Times New Roman" w:hAnsi="Verdana" w:cs="Times New Roman"/>
          <w:color w:val="000000"/>
          <w:sz w:val="18"/>
          <w:szCs w:val="18"/>
        </w:rPr>
        <w:t xml:space="preserve"> evidence rule, so the respondents argued, the same must hold true for the minutes of the August meeting. I do not believe, however, that the comparison is valid. Unlike the evidence of </w:t>
      </w:r>
      <w:proofErr w:type="spellStart"/>
      <w:r w:rsidRPr="00275A7A">
        <w:rPr>
          <w:rFonts w:ascii="Verdana" w:eastAsia="Times New Roman" w:hAnsi="Verdana" w:cs="Times New Roman"/>
          <w:color w:val="000000"/>
          <w:sz w:val="18"/>
          <w:szCs w:val="18"/>
        </w:rPr>
        <w:t>Wessels</w:t>
      </w:r>
      <w:proofErr w:type="spellEnd"/>
      <w:r w:rsidRPr="00275A7A">
        <w:rPr>
          <w:rFonts w:ascii="Verdana" w:eastAsia="Times New Roman" w:hAnsi="Verdana" w:cs="Times New Roman"/>
          <w:color w:val="000000"/>
          <w:sz w:val="18"/>
          <w:szCs w:val="18"/>
        </w:rPr>
        <w:t xml:space="preserve">, the minutes of the meeting are not introduced as evidence of direct intent, aimed at the avoidance or the variation of the express terms of the pronouncement in the preamble to the trust deed. On the contrary, the minutes are plainly introduced to demonstrate that the meaning of the pronouncement contended for by the appellants is supported by the subsequent conduct of the parties to the trust deed which is a well </w:t>
      </w:r>
      <w:proofErr w:type="spellStart"/>
      <w:r w:rsidRPr="00275A7A">
        <w:rPr>
          <w:rFonts w:ascii="Verdana" w:eastAsia="Times New Roman" w:hAnsi="Verdana" w:cs="Times New Roman"/>
          <w:color w:val="000000"/>
          <w:sz w:val="18"/>
          <w:szCs w:val="18"/>
        </w:rPr>
        <w:t>recognised</w:t>
      </w:r>
      <w:proofErr w:type="spellEnd"/>
      <w:r w:rsidRPr="00275A7A">
        <w:rPr>
          <w:rFonts w:ascii="Verdana" w:eastAsia="Times New Roman" w:hAnsi="Verdana" w:cs="Times New Roman"/>
          <w:color w:val="000000"/>
          <w:sz w:val="18"/>
          <w:szCs w:val="18"/>
        </w:rPr>
        <w:t xml:space="preserve"> and admissible way of interpreting an ambiguous document (see </w:t>
      </w:r>
      <w:proofErr w:type="spellStart"/>
      <w:r w:rsidRPr="00275A7A">
        <w:rPr>
          <w:rFonts w:ascii="Verdana" w:eastAsia="Times New Roman" w:hAnsi="Verdana" w:cs="Times New Roman"/>
          <w:color w:val="000000"/>
          <w:sz w:val="18"/>
          <w:szCs w:val="18"/>
        </w:rPr>
        <w:t>eg</w:t>
      </w:r>
      <w:proofErr w:type="spellEnd"/>
      <w:r w:rsidRPr="00275A7A">
        <w:rPr>
          <w:rFonts w:ascii="Verdana" w:eastAsia="Times New Roman" w:hAnsi="Verdana" w:cs="Times New Roman"/>
          <w:color w:val="000000"/>
          <w:sz w:val="18"/>
          <w:szCs w:val="18"/>
        </w:rPr>
        <w:t xml:space="preserve"> </w:t>
      </w:r>
      <w:r w:rsidRPr="00275A7A">
        <w:rPr>
          <w:rFonts w:ascii="Verdana" w:eastAsia="Times New Roman" w:hAnsi="Verdana" w:cs="Times New Roman"/>
          <w:i/>
          <w:iCs/>
          <w:color w:val="000000"/>
          <w:sz w:val="18"/>
          <w:szCs w:val="18"/>
        </w:rPr>
        <w:t xml:space="preserve">Coopers &amp; Lybrand v Bryant </w:t>
      </w:r>
      <w:r w:rsidRPr="00275A7A">
        <w:rPr>
          <w:rFonts w:ascii="Verdana" w:eastAsia="Times New Roman" w:hAnsi="Verdana" w:cs="Times New Roman"/>
          <w:color w:val="000000"/>
          <w:sz w:val="18"/>
          <w:szCs w:val="18"/>
        </w:rPr>
        <w:t xml:space="preserve">1995 (3) SA 761 (A) at 768A – E [also reported at </w:t>
      </w:r>
      <w:hyperlink r:id="rId10" w:anchor="g0" w:history="1">
        <w:r w:rsidRPr="00275A7A">
          <w:rPr>
            <w:rFonts w:ascii="Verdana" w:eastAsia="Times New Roman" w:hAnsi="Verdana" w:cs="Times New Roman"/>
            <w:color w:val="008000"/>
            <w:sz w:val="18"/>
            <w:szCs w:val="18"/>
            <w:u w:val="single"/>
          </w:rPr>
          <w:t>[1995] 2 All SA 635 (A)</w:t>
        </w:r>
      </w:hyperlink>
      <w:r w:rsidRPr="00275A7A">
        <w:rPr>
          <w:rFonts w:ascii="Verdana" w:eastAsia="Times New Roman" w:hAnsi="Verdana" w:cs="Times New Roman"/>
          <w:color w:val="000000"/>
          <w:sz w:val="18"/>
          <w:szCs w:val="18"/>
        </w:rPr>
        <w:t xml:space="preserve"> – Ed]).</w:t>
      </w:r>
    </w:p>
    <w:p w:rsidR="00275A7A" w:rsidRPr="00275A7A" w:rsidRDefault="00275A7A" w:rsidP="00275A7A">
      <w:pPr>
        <w:spacing w:before="180" w:after="0" w:line="240" w:lineRule="auto"/>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[25</w:t>
      </w:r>
      <w:proofErr w:type="gramStart"/>
      <w:r w:rsidRPr="00275A7A">
        <w:rPr>
          <w:rFonts w:ascii="Verdana" w:eastAsia="Times New Roman" w:hAnsi="Verdana" w:cs="Times New Roman"/>
          <w:color w:val="000000"/>
          <w:sz w:val="18"/>
          <w:szCs w:val="18"/>
        </w:rPr>
        <w:t>]  The</w:t>
      </w:r>
      <w:proofErr w:type="gramEnd"/>
      <w:r w:rsidRPr="00275A7A">
        <w:rPr>
          <w:rFonts w:ascii="Verdana" w:eastAsia="Times New Roman" w:hAnsi="Verdana" w:cs="Times New Roman"/>
          <w:color w:val="000000"/>
          <w:sz w:val="18"/>
          <w:szCs w:val="18"/>
        </w:rPr>
        <w:t xml:space="preserve"> respondents' second answer, based on fact, again relied on the testimony of </w:t>
      </w:r>
      <w:proofErr w:type="spellStart"/>
      <w:r w:rsidRPr="00275A7A">
        <w:rPr>
          <w:rFonts w:ascii="Verdana" w:eastAsia="Times New Roman" w:hAnsi="Verdana" w:cs="Times New Roman"/>
          <w:color w:val="000000"/>
          <w:sz w:val="18"/>
          <w:szCs w:val="18"/>
        </w:rPr>
        <w:t>Wessels</w:t>
      </w:r>
      <w:proofErr w:type="spellEnd"/>
      <w:r w:rsidRPr="00275A7A">
        <w:rPr>
          <w:rFonts w:ascii="Verdana" w:eastAsia="Times New Roman" w:hAnsi="Verdana" w:cs="Times New Roman"/>
          <w:color w:val="000000"/>
          <w:sz w:val="18"/>
          <w:szCs w:val="18"/>
        </w:rPr>
        <w:t xml:space="preserve">. According to his evidence there is no merit in the appellants' inference from the minutes of the meeting that the deceased and the trustees thought it necessary at the time to obtain the approval of the appellants, in their capacities as capital beneficiaries, for the alienation of a trust asset. The reason for their presence at the meeting, so he said, was something entirely different. It was because he, </w:t>
      </w:r>
      <w:proofErr w:type="spellStart"/>
      <w:r w:rsidRPr="00275A7A">
        <w:rPr>
          <w:rFonts w:ascii="Verdana" w:eastAsia="Times New Roman" w:hAnsi="Verdana" w:cs="Times New Roman"/>
          <w:color w:val="000000"/>
          <w:sz w:val="18"/>
          <w:szCs w:val="18"/>
        </w:rPr>
        <w:t>Wessels</w:t>
      </w:r>
      <w:proofErr w:type="spellEnd"/>
      <w:r w:rsidRPr="00275A7A">
        <w:rPr>
          <w:rFonts w:ascii="Verdana" w:eastAsia="Times New Roman" w:hAnsi="Verdana" w:cs="Times New Roman"/>
          <w:color w:val="000000"/>
          <w:sz w:val="18"/>
          <w:szCs w:val="18"/>
        </w:rPr>
        <w:t xml:space="preserve">, had suggested to the deceased that the children should be made aware of the marked degree of acrimony generated by the divorce proceedings and the fact that their mother was in effect claiming an asset which the deceased regarded as part of the children's inheritance. He thought this advisable, </w:t>
      </w:r>
      <w:proofErr w:type="spellStart"/>
      <w:r w:rsidRPr="00275A7A">
        <w:rPr>
          <w:rFonts w:ascii="Verdana" w:eastAsia="Times New Roman" w:hAnsi="Verdana" w:cs="Times New Roman"/>
          <w:color w:val="000000"/>
          <w:sz w:val="18"/>
          <w:szCs w:val="18"/>
        </w:rPr>
        <w:t>Wessels</w:t>
      </w:r>
      <w:proofErr w:type="spellEnd"/>
      <w:r w:rsidRPr="00275A7A">
        <w:rPr>
          <w:rFonts w:ascii="Verdana" w:eastAsia="Times New Roman" w:hAnsi="Verdana" w:cs="Times New Roman"/>
          <w:color w:val="000000"/>
          <w:sz w:val="18"/>
          <w:szCs w:val="18"/>
        </w:rPr>
        <w:t xml:space="preserve"> said, so as to avoid later recriminations by anyone against the deceased.</w:t>
      </w:r>
    </w:p>
    <w:p w:rsidR="00275A7A" w:rsidRPr="00275A7A" w:rsidRDefault="00275A7A" w:rsidP="00275A7A">
      <w:pPr>
        <w:spacing w:before="180" w:after="0" w:line="240" w:lineRule="auto"/>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[26</w:t>
      </w:r>
      <w:proofErr w:type="gramStart"/>
      <w:r w:rsidRPr="00275A7A">
        <w:rPr>
          <w:rFonts w:ascii="Verdana" w:eastAsia="Times New Roman" w:hAnsi="Verdana" w:cs="Times New Roman"/>
          <w:color w:val="000000"/>
          <w:sz w:val="18"/>
          <w:szCs w:val="18"/>
        </w:rPr>
        <w:t>]  In</w:t>
      </w:r>
      <w:proofErr w:type="gramEnd"/>
      <w:r w:rsidRPr="00275A7A">
        <w:rPr>
          <w:rFonts w:ascii="Verdana" w:eastAsia="Times New Roman" w:hAnsi="Verdana" w:cs="Times New Roman"/>
          <w:color w:val="000000"/>
          <w:sz w:val="18"/>
          <w:szCs w:val="18"/>
        </w:rPr>
        <w:t xml:space="preserve"> my view </w:t>
      </w:r>
      <w:proofErr w:type="spellStart"/>
      <w:r w:rsidRPr="00275A7A">
        <w:rPr>
          <w:rFonts w:ascii="Verdana" w:eastAsia="Times New Roman" w:hAnsi="Verdana" w:cs="Times New Roman"/>
          <w:color w:val="000000"/>
          <w:sz w:val="18"/>
          <w:szCs w:val="18"/>
        </w:rPr>
        <w:t>Wessels</w:t>
      </w:r>
      <w:proofErr w:type="spellEnd"/>
      <w:r w:rsidRPr="00275A7A">
        <w:rPr>
          <w:rFonts w:ascii="Verdana" w:eastAsia="Times New Roman" w:hAnsi="Verdana" w:cs="Times New Roman"/>
          <w:color w:val="000000"/>
          <w:sz w:val="18"/>
          <w:szCs w:val="18"/>
        </w:rPr>
        <w:t xml:space="preserve">' version does him no credit. In fact, I believe it is so untenable that it can be rejected with confidence on the papers, which is essentially what the court </w:t>
      </w:r>
      <w:r w:rsidRPr="00275A7A">
        <w:rPr>
          <w:rFonts w:ascii="Verdana" w:eastAsia="Times New Roman" w:hAnsi="Verdana" w:cs="Times New Roman"/>
          <w:i/>
          <w:iCs/>
          <w:color w:val="000000"/>
          <w:sz w:val="18"/>
          <w:szCs w:val="18"/>
        </w:rPr>
        <w:t xml:space="preserve">a quo </w:t>
      </w:r>
      <w:r w:rsidRPr="00275A7A">
        <w:rPr>
          <w:rFonts w:ascii="Verdana" w:eastAsia="Times New Roman" w:hAnsi="Verdana" w:cs="Times New Roman"/>
          <w:color w:val="000000"/>
          <w:sz w:val="18"/>
          <w:szCs w:val="18"/>
        </w:rPr>
        <w:t xml:space="preserve">did. The contents of the minutes clearly reflect that the deceased and the other trustees thought it necessary to obtain the </w:t>
      </w:r>
    </w:p>
    <w:p w:rsidR="00275A7A" w:rsidRPr="00275A7A" w:rsidRDefault="00275A7A" w:rsidP="00275A7A">
      <w:pPr>
        <w:spacing w:before="360" w:after="0" w:line="240" w:lineRule="auto"/>
        <w:rPr>
          <w:rFonts w:ascii="Verdana" w:eastAsia="Times New Roman" w:hAnsi="Verdana" w:cs="Times New Roman"/>
          <w:b/>
          <w:bCs/>
          <w:color w:val="000000"/>
          <w:sz w:val="16"/>
          <w:szCs w:val="16"/>
        </w:rPr>
      </w:pPr>
      <w:r w:rsidRPr="00275A7A">
        <w:rPr>
          <w:rFonts w:ascii="Verdana" w:eastAsia="Times New Roman" w:hAnsi="Verdana" w:cs="Times New Roman"/>
          <w:b/>
          <w:bCs/>
          <w:color w:val="000000"/>
          <w:sz w:val="16"/>
          <w:szCs w:val="16"/>
        </w:rPr>
        <w:t>Page 17 of [2011] JOL 27892 (SCA)</w:t>
      </w:r>
    </w:p>
    <w:p w:rsidR="00275A7A" w:rsidRPr="00275A7A" w:rsidRDefault="00275A7A" w:rsidP="00275A7A">
      <w:pPr>
        <w:spacing w:before="180" w:after="0" w:line="240" w:lineRule="auto"/>
        <w:jc w:val="both"/>
        <w:rPr>
          <w:rFonts w:ascii="Verdana" w:eastAsia="Times New Roman" w:hAnsi="Verdana" w:cs="Times New Roman"/>
          <w:color w:val="000000"/>
          <w:sz w:val="18"/>
          <w:szCs w:val="18"/>
        </w:rPr>
      </w:pPr>
      <w:proofErr w:type="gramStart"/>
      <w:r w:rsidRPr="00275A7A">
        <w:rPr>
          <w:rFonts w:ascii="Verdana" w:eastAsia="Times New Roman" w:hAnsi="Verdana" w:cs="Times New Roman"/>
          <w:color w:val="000000"/>
          <w:sz w:val="18"/>
          <w:szCs w:val="18"/>
        </w:rPr>
        <w:t>consent</w:t>
      </w:r>
      <w:proofErr w:type="gramEnd"/>
      <w:r w:rsidRPr="00275A7A">
        <w:rPr>
          <w:rFonts w:ascii="Verdana" w:eastAsia="Times New Roman" w:hAnsi="Verdana" w:cs="Times New Roman"/>
          <w:color w:val="000000"/>
          <w:sz w:val="18"/>
          <w:szCs w:val="18"/>
        </w:rPr>
        <w:t xml:space="preserve"> of the appellants as beneficiaries to the alienation of a trust asset. That is what was sought, obtained and formally recorded in the minutes. If </w:t>
      </w:r>
      <w:proofErr w:type="spellStart"/>
      <w:r w:rsidRPr="00275A7A">
        <w:rPr>
          <w:rFonts w:ascii="Verdana" w:eastAsia="Times New Roman" w:hAnsi="Verdana" w:cs="Times New Roman"/>
          <w:color w:val="000000"/>
          <w:sz w:val="18"/>
          <w:szCs w:val="18"/>
        </w:rPr>
        <w:t>Wessels</w:t>
      </w:r>
      <w:proofErr w:type="spellEnd"/>
      <w:r w:rsidRPr="00275A7A">
        <w:rPr>
          <w:rFonts w:ascii="Verdana" w:eastAsia="Times New Roman" w:hAnsi="Verdana" w:cs="Times New Roman"/>
          <w:color w:val="000000"/>
          <w:sz w:val="18"/>
          <w:szCs w:val="18"/>
        </w:rPr>
        <w:t xml:space="preserve"> and the deceased merely intended to ensure that the appellants knew what was happening in the divorce proceedings, there were many ways of doing so. </w:t>
      </w:r>
      <w:proofErr w:type="spellStart"/>
      <w:r w:rsidRPr="00275A7A">
        <w:rPr>
          <w:rFonts w:ascii="Verdana" w:eastAsia="Times New Roman" w:hAnsi="Verdana" w:cs="Times New Roman"/>
          <w:color w:val="000000"/>
          <w:sz w:val="18"/>
          <w:szCs w:val="18"/>
        </w:rPr>
        <w:t>Minuting</w:t>
      </w:r>
      <w:proofErr w:type="spellEnd"/>
      <w:r w:rsidRPr="00275A7A">
        <w:rPr>
          <w:rFonts w:ascii="Verdana" w:eastAsia="Times New Roman" w:hAnsi="Verdana" w:cs="Times New Roman"/>
          <w:color w:val="000000"/>
          <w:sz w:val="18"/>
          <w:szCs w:val="18"/>
        </w:rPr>
        <w:t xml:space="preserve"> a formal meeting which records the appellants' consent to the alienation of a trust asset, while no single negative comment is made about the conduct of their mother during the divorce proceedings, could hardly serve that purpose. In this light, I am in agreement with the court </w:t>
      </w:r>
      <w:r w:rsidRPr="00275A7A">
        <w:rPr>
          <w:rFonts w:ascii="Verdana" w:eastAsia="Times New Roman" w:hAnsi="Verdana" w:cs="Times New Roman"/>
          <w:i/>
          <w:iCs/>
          <w:color w:val="000000"/>
          <w:sz w:val="18"/>
          <w:szCs w:val="18"/>
        </w:rPr>
        <w:t>a quo</w:t>
      </w:r>
      <w:r w:rsidRPr="00275A7A">
        <w:rPr>
          <w:rFonts w:ascii="Verdana" w:eastAsia="Times New Roman" w:hAnsi="Verdana" w:cs="Times New Roman"/>
          <w:color w:val="000000"/>
          <w:sz w:val="18"/>
          <w:szCs w:val="18"/>
        </w:rPr>
        <w:t>'s finding that the deceased accepted the benefits conferred by the trust deed on behalf of his minor children in the preamble of the trust deed and that this was confirmed by the deceased and the trustees at the August meeting.</w:t>
      </w:r>
    </w:p>
    <w:p w:rsidR="00275A7A" w:rsidRPr="00275A7A" w:rsidRDefault="00275A7A" w:rsidP="00275A7A">
      <w:pPr>
        <w:spacing w:before="180" w:after="0" w:line="240" w:lineRule="auto"/>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[27</w:t>
      </w:r>
      <w:proofErr w:type="gramStart"/>
      <w:r w:rsidRPr="00275A7A">
        <w:rPr>
          <w:rFonts w:ascii="Verdana" w:eastAsia="Times New Roman" w:hAnsi="Verdana" w:cs="Times New Roman"/>
          <w:color w:val="000000"/>
          <w:sz w:val="18"/>
          <w:szCs w:val="18"/>
        </w:rPr>
        <w:t>]  That</w:t>
      </w:r>
      <w:proofErr w:type="gramEnd"/>
      <w:r w:rsidRPr="00275A7A">
        <w:rPr>
          <w:rFonts w:ascii="Verdana" w:eastAsia="Times New Roman" w:hAnsi="Verdana" w:cs="Times New Roman"/>
          <w:color w:val="000000"/>
          <w:sz w:val="18"/>
          <w:szCs w:val="18"/>
        </w:rPr>
        <w:t xml:space="preserve"> brings me to the respondents' alternative argument that, even if the benefits conferred upon the appellants by the trust deed were held to be accepted on their behalf, it would not preclude the deceased and the trustees to vary the trust deed without the appellants' consent. This is </w:t>
      </w:r>
      <w:proofErr w:type="gramStart"/>
      <w:r w:rsidRPr="00275A7A">
        <w:rPr>
          <w:rFonts w:ascii="Verdana" w:eastAsia="Times New Roman" w:hAnsi="Verdana" w:cs="Times New Roman"/>
          <w:color w:val="000000"/>
          <w:sz w:val="18"/>
          <w:szCs w:val="18"/>
        </w:rPr>
        <w:t>so,</w:t>
      </w:r>
      <w:proofErr w:type="gramEnd"/>
      <w:r w:rsidRPr="00275A7A">
        <w:rPr>
          <w:rFonts w:ascii="Verdana" w:eastAsia="Times New Roman" w:hAnsi="Verdana" w:cs="Times New Roman"/>
          <w:color w:val="000000"/>
          <w:sz w:val="18"/>
          <w:szCs w:val="18"/>
        </w:rPr>
        <w:t xml:space="preserve"> the respondents' argument went, because, in accordance with the terms of the trust deed, the appellants could, in any event, be deprived by the trustees of all benefits conferred upon them in the deed. In support of this argument the respondents referred to the wide discretionary powers bestowed upon the trustees and to other provisions in the trust deed which rendered the position of the appellants extremely vulnerable and uncertain until the vesting date.</w:t>
      </w:r>
    </w:p>
    <w:p w:rsidR="00275A7A" w:rsidRPr="00275A7A" w:rsidRDefault="00275A7A" w:rsidP="00275A7A">
      <w:pPr>
        <w:spacing w:before="180" w:after="0" w:line="240" w:lineRule="auto"/>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[28</w:t>
      </w:r>
      <w:proofErr w:type="gramStart"/>
      <w:r w:rsidRPr="00275A7A">
        <w:rPr>
          <w:rFonts w:ascii="Verdana" w:eastAsia="Times New Roman" w:hAnsi="Verdana" w:cs="Times New Roman"/>
          <w:color w:val="000000"/>
          <w:sz w:val="18"/>
          <w:szCs w:val="18"/>
        </w:rPr>
        <w:t>]  I</w:t>
      </w:r>
      <w:proofErr w:type="gramEnd"/>
      <w:r w:rsidRPr="00275A7A">
        <w:rPr>
          <w:rFonts w:ascii="Verdana" w:eastAsia="Times New Roman" w:hAnsi="Verdana" w:cs="Times New Roman"/>
          <w:color w:val="000000"/>
          <w:sz w:val="18"/>
          <w:szCs w:val="18"/>
        </w:rPr>
        <w:t xml:space="preserve"> do not think it can be gainsaid that at the time of the variation agreement on 21 February 2006, the appellants enjoyed no vested rights to either the income or the capital of the trust. They were clearly contingent beneficiaries only. But that does not render their acceptance of these contingent benefits irrelevant. The respondents referred to no authority that supports any proposition to that effect and I cannot think of a reason why that would be so. The import of acceptance by the beneficiary is that it creates a right for the beneficiary pursuant </w:t>
      </w:r>
    </w:p>
    <w:p w:rsidR="00275A7A" w:rsidRPr="00275A7A" w:rsidRDefault="00275A7A" w:rsidP="00275A7A">
      <w:pPr>
        <w:spacing w:before="360" w:after="0" w:line="240" w:lineRule="auto"/>
        <w:rPr>
          <w:rFonts w:ascii="Verdana" w:eastAsia="Times New Roman" w:hAnsi="Verdana" w:cs="Times New Roman"/>
          <w:b/>
          <w:bCs/>
          <w:color w:val="000000"/>
          <w:sz w:val="16"/>
          <w:szCs w:val="16"/>
        </w:rPr>
      </w:pPr>
      <w:r w:rsidRPr="00275A7A">
        <w:rPr>
          <w:rFonts w:ascii="Verdana" w:eastAsia="Times New Roman" w:hAnsi="Verdana" w:cs="Times New Roman"/>
          <w:b/>
          <w:bCs/>
          <w:color w:val="000000"/>
          <w:sz w:val="16"/>
          <w:szCs w:val="16"/>
        </w:rPr>
        <w:t>Page 18 of [2011] JOL 27892 (SCA)</w:t>
      </w:r>
    </w:p>
    <w:p w:rsidR="00275A7A" w:rsidRPr="00275A7A" w:rsidRDefault="00275A7A" w:rsidP="00275A7A">
      <w:pPr>
        <w:spacing w:before="180" w:after="0" w:line="240" w:lineRule="auto"/>
        <w:jc w:val="both"/>
        <w:rPr>
          <w:rFonts w:ascii="Verdana" w:eastAsia="Times New Roman" w:hAnsi="Verdana" w:cs="Times New Roman"/>
          <w:color w:val="000000"/>
          <w:sz w:val="18"/>
          <w:szCs w:val="18"/>
        </w:rPr>
      </w:pPr>
      <w:proofErr w:type="gramStart"/>
      <w:r w:rsidRPr="00275A7A">
        <w:rPr>
          <w:rFonts w:ascii="Verdana" w:eastAsia="Times New Roman" w:hAnsi="Verdana" w:cs="Times New Roman"/>
          <w:color w:val="000000"/>
          <w:sz w:val="18"/>
          <w:szCs w:val="18"/>
        </w:rPr>
        <w:t>to</w:t>
      </w:r>
      <w:proofErr w:type="gramEnd"/>
      <w:r w:rsidRPr="00275A7A">
        <w:rPr>
          <w:rFonts w:ascii="Verdana" w:eastAsia="Times New Roman" w:hAnsi="Verdana" w:cs="Times New Roman"/>
          <w:color w:val="000000"/>
          <w:sz w:val="18"/>
          <w:szCs w:val="18"/>
        </w:rPr>
        <w:t xml:space="preserve"> the trust deed, while no such right existed before. The reason why, after that acceptance, the trust deed cannot be varied without the beneficiary's consent, is that the law seeks to protect the right thus </w:t>
      </w:r>
      <w:r w:rsidRPr="00275A7A">
        <w:rPr>
          <w:rFonts w:ascii="Verdana" w:eastAsia="Times New Roman" w:hAnsi="Verdana" w:cs="Times New Roman"/>
          <w:color w:val="000000"/>
          <w:sz w:val="18"/>
          <w:szCs w:val="18"/>
        </w:rPr>
        <w:lastRenderedPageBreak/>
        <w:t xml:space="preserve">created for the first time. In this light, the question whether the right thus created is enforceable, conditional or contingent should make no difference. The only relevant consideration is whether the right is worthy of protection, and I have no doubt that it is. Hence, for example, our law affords the contingent beneficiary the right to protect his or her interest against maladministration by the trustee (see </w:t>
      </w:r>
      <w:r w:rsidRPr="00275A7A">
        <w:rPr>
          <w:rFonts w:ascii="Verdana" w:eastAsia="Times New Roman" w:hAnsi="Verdana" w:cs="Times New Roman"/>
          <w:i/>
          <w:iCs/>
          <w:color w:val="000000"/>
          <w:sz w:val="18"/>
          <w:szCs w:val="18"/>
        </w:rPr>
        <w:t xml:space="preserve">Gross v </w:t>
      </w:r>
      <w:proofErr w:type="spellStart"/>
      <w:r w:rsidRPr="00275A7A">
        <w:rPr>
          <w:rFonts w:ascii="Verdana" w:eastAsia="Times New Roman" w:hAnsi="Verdana" w:cs="Times New Roman"/>
          <w:i/>
          <w:iCs/>
          <w:color w:val="000000"/>
          <w:sz w:val="18"/>
          <w:szCs w:val="18"/>
        </w:rPr>
        <w:t>Pentz</w:t>
      </w:r>
      <w:proofErr w:type="spellEnd"/>
      <w:r w:rsidRPr="00275A7A">
        <w:rPr>
          <w:rFonts w:ascii="Verdana" w:eastAsia="Times New Roman" w:hAnsi="Verdana" w:cs="Times New Roman"/>
          <w:i/>
          <w:iCs/>
          <w:color w:val="000000"/>
          <w:sz w:val="18"/>
          <w:szCs w:val="18"/>
        </w:rPr>
        <w:t xml:space="preserve"> </w:t>
      </w:r>
      <w:r w:rsidRPr="00275A7A">
        <w:rPr>
          <w:rFonts w:ascii="Verdana" w:eastAsia="Times New Roman" w:hAnsi="Verdana" w:cs="Times New Roman"/>
          <w:color w:val="000000"/>
          <w:sz w:val="18"/>
          <w:szCs w:val="18"/>
        </w:rPr>
        <w:t xml:space="preserve">1996 (4) SA 617 (A) at 628I – J [also reported at [1997] JOL 448 (A) – Ed]). The respondents' alternative argument as to why the variation agreement was </w:t>
      </w:r>
      <w:proofErr w:type="gramStart"/>
      <w:r w:rsidRPr="00275A7A">
        <w:rPr>
          <w:rFonts w:ascii="Verdana" w:eastAsia="Times New Roman" w:hAnsi="Verdana" w:cs="Times New Roman"/>
          <w:color w:val="000000"/>
          <w:sz w:val="18"/>
          <w:szCs w:val="18"/>
        </w:rPr>
        <w:t>valid,</w:t>
      </w:r>
      <w:proofErr w:type="gramEnd"/>
      <w:r w:rsidRPr="00275A7A">
        <w:rPr>
          <w:rFonts w:ascii="Verdana" w:eastAsia="Times New Roman" w:hAnsi="Verdana" w:cs="Times New Roman"/>
          <w:color w:val="000000"/>
          <w:sz w:val="18"/>
          <w:szCs w:val="18"/>
        </w:rPr>
        <w:t xml:space="preserve"> is therefore, in my view, equally unsustainable.</w:t>
      </w:r>
    </w:p>
    <w:p w:rsidR="00275A7A" w:rsidRPr="00275A7A" w:rsidRDefault="00275A7A" w:rsidP="00275A7A">
      <w:pPr>
        <w:spacing w:before="180" w:after="0" w:line="240" w:lineRule="auto"/>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[29</w:t>
      </w:r>
      <w:proofErr w:type="gramStart"/>
      <w:r w:rsidRPr="00275A7A">
        <w:rPr>
          <w:rFonts w:ascii="Verdana" w:eastAsia="Times New Roman" w:hAnsi="Verdana" w:cs="Times New Roman"/>
          <w:color w:val="000000"/>
          <w:sz w:val="18"/>
          <w:szCs w:val="18"/>
        </w:rPr>
        <w:t>]  Arriving</w:t>
      </w:r>
      <w:proofErr w:type="gramEnd"/>
      <w:r w:rsidRPr="00275A7A">
        <w:rPr>
          <w:rFonts w:ascii="Verdana" w:eastAsia="Times New Roman" w:hAnsi="Verdana" w:cs="Times New Roman"/>
          <w:color w:val="000000"/>
          <w:sz w:val="18"/>
          <w:szCs w:val="18"/>
        </w:rPr>
        <w:t xml:space="preserve"> at the same conclusion, the court </w:t>
      </w:r>
      <w:r w:rsidRPr="00275A7A">
        <w:rPr>
          <w:rFonts w:ascii="Verdana" w:eastAsia="Times New Roman" w:hAnsi="Verdana" w:cs="Times New Roman"/>
          <w:i/>
          <w:iCs/>
          <w:color w:val="000000"/>
          <w:sz w:val="18"/>
          <w:szCs w:val="18"/>
        </w:rPr>
        <w:t xml:space="preserve">a quo </w:t>
      </w:r>
      <w:r w:rsidRPr="00275A7A">
        <w:rPr>
          <w:rFonts w:ascii="Verdana" w:eastAsia="Times New Roman" w:hAnsi="Verdana" w:cs="Times New Roman"/>
          <w:color w:val="000000"/>
          <w:sz w:val="18"/>
          <w:szCs w:val="18"/>
        </w:rPr>
        <w:t xml:space="preserve">held, rightly in my view, that it would normally lead to the finding that the variation agreement was invalid and that the provisions of the original trust deed must be applied in </w:t>
      </w:r>
      <w:proofErr w:type="spellStart"/>
      <w:r w:rsidRPr="00275A7A">
        <w:rPr>
          <w:rFonts w:ascii="Verdana" w:eastAsia="Times New Roman" w:hAnsi="Verdana" w:cs="Times New Roman"/>
          <w:color w:val="000000"/>
          <w:sz w:val="18"/>
          <w:szCs w:val="18"/>
        </w:rPr>
        <w:t>unamended</w:t>
      </w:r>
      <w:proofErr w:type="spellEnd"/>
      <w:r w:rsidRPr="00275A7A">
        <w:rPr>
          <w:rFonts w:ascii="Verdana" w:eastAsia="Times New Roman" w:hAnsi="Verdana" w:cs="Times New Roman"/>
          <w:color w:val="000000"/>
          <w:sz w:val="18"/>
          <w:szCs w:val="18"/>
        </w:rPr>
        <w:t xml:space="preserve"> form. But, as I have said, the court </w:t>
      </w:r>
      <w:r w:rsidRPr="00275A7A">
        <w:rPr>
          <w:rFonts w:ascii="Verdana" w:eastAsia="Times New Roman" w:hAnsi="Verdana" w:cs="Times New Roman"/>
          <w:i/>
          <w:iCs/>
          <w:color w:val="000000"/>
          <w:sz w:val="18"/>
          <w:szCs w:val="18"/>
        </w:rPr>
        <w:t xml:space="preserve">a quo </w:t>
      </w:r>
      <w:r w:rsidRPr="00275A7A">
        <w:rPr>
          <w:rFonts w:ascii="Verdana" w:eastAsia="Times New Roman" w:hAnsi="Verdana" w:cs="Times New Roman"/>
          <w:color w:val="000000"/>
          <w:sz w:val="18"/>
          <w:szCs w:val="18"/>
        </w:rPr>
        <w:t xml:space="preserve">found itself </w:t>
      </w:r>
      <w:proofErr w:type="spellStart"/>
      <w:r w:rsidRPr="00275A7A">
        <w:rPr>
          <w:rFonts w:ascii="Verdana" w:eastAsia="Times New Roman" w:hAnsi="Verdana" w:cs="Times New Roman"/>
          <w:color w:val="000000"/>
          <w:sz w:val="18"/>
          <w:szCs w:val="18"/>
        </w:rPr>
        <w:t>authorised</w:t>
      </w:r>
      <w:proofErr w:type="spellEnd"/>
      <w:r w:rsidRPr="00275A7A">
        <w:rPr>
          <w:rFonts w:ascii="Verdana" w:eastAsia="Times New Roman" w:hAnsi="Verdana" w:cs="Times New Roman"/>
          <w:color w:val="000000"/>
          <w:sz w:val="18"/>
          <w:szCs w:val="18"/>
        </w:rPr>
        <w:t xml:space="preserve"> to deviate from this usual outcome by granting an order which it regarded as equitable and fair. As the first basis for that authority the court </w:t>
      </w:r>
      <w:r w:rsidRPr="00275A7A">
        <w:rPr>
          <w:rFonts w:ascii="Verdana" w:eastAsia="Times New Roman" w:hAnsi="Verdana" w:cs="Times New Roman"/>
          <w:i/>
          <w:iCs/>
          <w:color w:val="000000"/>
          <w:sz w:val="18"/>
          <w:szCs w:val="18"/>
        </w:rPr>
        <w:t xml:space="preserve">a quo </w:t>
      </w:r>
      <w:r w:rsidRPr="00275A7A">
        <w:rPr>
          <w:rFonts w:ascii="Verdana" w:eastAsia="Times New Roman" w:hAnsi="Verdana" w:cs="Times New Roman"/>
          <w:color w:val="000000"/>
          <w:sz w:val="18"/>
          <w:szCs w:val="18"/>
        </w:rPr>
        <w:t>relied on the provisions of section 13 of the Trust Property Control Act 57 of 1988. This section provides in relevant part:</w:t>
      </w:r>
    </w:p>
    <w:p w:rsidR="00275A7A" w:rsidRPr="00275A7A" w:rsidRDefault="00275A7A" w:rsidP="00275A7A">
      <w:pPr>
        <w:spacing w:before="180" w:after="0" w:line="240" w:lineRule="auto"/>
        <w:ind w:left="567" w:right="567"/>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"If a trust instrument contains any provision which brings about consequences which in the opinion of the Court the founder of a trust did not contemplate or foresee and which –</w:t>
      </w:r>
    </w:p>
    <w:p w:rsidR="00275A7A" w:rsidRPr="00275A7A" w:rsidRDefault="00275A7A" w:rsidP="00275A7A">
      <w:pPr>
        <w:spacing w:before="180" w:after="0" w:line="240" w:lineRule="auto"/>
        <w:ind w:left="1134" w:right="567" w:hanging="567"/>
        <w:jc w:val="both"/>
        <w:rPr>
          <w:rFonts w:ascii="Verdana" w:eastAsia="Times New Roman" w:hAnsi="Verdana" w:cs="Times New Roman"/>
          <w:color w:val="000000"/>
          <w:sz w:val="18"/>
          <w:szCs w:val="18"/>
        </w:rPr>
      </w:pPr>
      <w:r w:rsidRPr="00275A7A">
        <w:rPr>
          <w:rFonts w:ascii="Verdana" w:eastAsia="Times New Roman" w:hAnsi="Verdana" w:cs="Times New Roman"/>
          <w:i/>
          <w:iCs/>
          <w:color w:val="000000"/>
          <w:sz w:val="18"/>
          <w:szCs w:val="18"/>
        </w:rPr>
        <w:t>(a)</w:t>
      </w:r>
    </w:p>
    <w:p w:rsidR="00275A7A" w:rsidRPr="00275A7A" w:rsidRDefault="00275A7A" w:rsidP="00275A7A">
      <w:pPr>
        <w:spacing w:after="0" w:line="240" w:lineRule="auto"/>
        <w:ind w:left="1134" w:right="567"/>
        <w:jc w:val="both"/>
        <w:rPr>
          <w:rFonts w:ascii="Verdana" w:eastAsia="Times New Roman" w:hAnsi="Verdana" w:cs="Times New Roman"/>
          <w:color w:val="000000"/>
          <w:sz w:val="18"/>
          <w:szCs w:val="18"/>
        </w:rPr>
      </w:pPr>
      <w:proofErr w:type="gramStart"/>
      <w:r w:rsidRPr="00275A7A">
        <w:rPr>
          <w:rFonts w:ascii="Verdana" w:eastAsia="Times New Roman" w:hAnsi="Verdana" w:cs="Times New Roman"/>
          <w:color w:val="000000"/>
          <w:sz w:val="18"/>
          <w:szCs w:val="18"/>
        </w:rPr>
        <w:t>hampers</w:t>
      </w:r>
      <w:proofErr w:type="gramEnd"/>
      <w:r w:rsidRPr="00275A7A">
        <w:rPr>
          <w:rFonts w:ascii="Verdana" w:eastAsia="Times New Roman" w:hAnsi="Verdana" w:cs="Times New Roman"/>
          <w:color w:val="000000"/>
          <w:sz w:val="18"/>
          <w:szCs w:val="18"/>
        </w:rPr>
        <w:t xml:space="preserve"> the achievement of the objects of the founder; or</w:t>
      </w:r>
    </w:p>
    <w:p w:rsidR="00275A7A" w:rsidRPr="00275A7A" w:rsidRDefault="00275A7A" w:rsidP="00275A7A">
      <w:pPr>
        <w:spacing w:before="180" w:after="0" w:line="240" w:lineRule="auto"/>
        <w:ind w:left="1134" w:right="567" w:hanging="567"/>
        <w:jc w:val="both"/>
        <w:rPr>
          <w:rFonts w:ascii="Verdana" w:eastAsia="Times New Roman" w:hAnsi="Verdana" w:cs="Times New Roman"/>
          <w:color w:val="000000"/>
          <w:sz w:val="18"/>
          <w:szCs w:val="18"/>
        </w:rPr>
      </w:pPr>
      <w:r w:rsidRPr="00275A7A">
        <w:rPr>
          <w:rFonts w:ascii="Verdana" w:eastAsia="Times New Roman" w:hAnsi="Verdana" w:cs="Times New Roman"/>
          <w:i/>
          <w:iCs/>
          <w:color w:val="000000"/>
          <w:sz w:val="18"/>
          <w:szCs w:val="18"/>
        </w:rPr>
        <w:t>(b)</w:t>
      </w:r>
    </w:p>
    <w:p w:rsidR="00275A7A" w:rsidRPr="00275A7A" w:rsidRDefault="00275A7A" w:rsidP="00275A7A">
      <w:pPr>
        <w:spacing w:after="0" w:line="240" w:lineRule="auto"/>
        <w:ind w:left="1134" w:right="567"/>
        <w:jc w:val="both"/>
        <w:rPr>
          <w:rFonts w:ascii="Verdana" w:eastAsia="Times New Roman" w:hAnsi="Verdana" w:cs="Times New Roman"/>
          <w:color w:val="000000"/>
          <w:sz w:val="18"/>
          <w:szCs w:val="18"/>
        </w:rPr>
      </w:pPr>
      <w:proofErr w:type="gramStart"/>
      <w:r w:rsidRPr="00275A7A">
        <w:rPr>
          <w:rFonts w:ascii="Verdana" w:eastAsia="Times New Roman" w:hAnsi="Verdana" w:cs="Times New Roman"/>
          <w:color w:val="000000"/>
          <w:sz w:val="18"/>
          <w:szCs w:val="18"/>
        </w:rPr>
        <w:t>prejudices</w:t>
      </w:r>
      <w:proofErr w:type="gramEnd"/>
      <w:r w:rsidRPr="00275A7A">
        <w:rPr>
          <w:rFonts w:ascii="Verdana" w:eastAsia="Times New Roman" w:hAnsi="Verdana" w:cs="Times New Roman"/>
          <w:color w:val="000000"/>
          <w:sz w:val="18"/>
          <w:szCs w:val="18"/>
        </w:rPr>
        <w:t xml:space="preserve"> the interests of beneficiaries; or</w:t>
      </w:r>
    </w:p>
    <w:p w:rsidR="00275A7A" w:rsidRPr="00275A7A" w:rsidRDefault="00275A7A" w:rsidP="00275A7A">
      <w:pPr>
        <w:spacing w:before="180" w:after="0" w:line="240" w:lineRule="auto"/>
        <w:ind w:left="1134" w:right="567" w:hanging="567"/>
        <w:jc w:val="both"/>
        <w:rPr>
          <w:rFonts w:ascii="Verdana" w:eastAsia="Times New Roman" w:hAnsi="Verdana" w:cs="Times New Roman"/>
          <w:color w:val="000000"/>
          <w:sz w:val="18"/>
          <w:szCs w:val="18"/>
        </w:rPr>
      </w:pPr>
      <w:r w:rsidRPr="00275A7A">
        <w:rPr>
          <w:rFonts w:ascii="Verdana" w:eastAsia="Times New Roman" w:hAnsi="Verdana" w:cs="Times New Roman"/>
          <w:i/>
          <w:iCs/>
          <w:color w:val="000000"/>
          <w:sz w:val="18"/>
          <w:szCs w:val="18"/>
        </w:rPr>
        <w:t>(c)</w:t>
      </w:r>
    </w:p>
    <w:p w:rsidR="00275A7A" w:rsidRPr="00275A7A" w:rsidRDefault="00275A7A" w:rsidP="00275A7A">
      <w:pPr>
        <w:spacing w:after="0" w:line="240" w:lineRule="auto"/>
        <w:ind w:left="1134" w:right="567"/>
        <w:jc w:val="both"/>
        <w:rPr>
          <w:rFonts w:ascii="Verdana" w:eastAsia="Times New Roman" w:hAnsi="Verdana" w:cs="Times New Roman"/>
          <w:color w:val="000000"/>
          <w:sz w:val="18"/>
          <w:szCs w:val="18"/>
        </w:rPr>
      </w:pPr>
      <w:proofErr w:type="gramStart"/>
      <w:r w:rsidRPr="00275A7A">
        <w:rPr>
          <w:rFonts w:ascii="Verdana" w:eastAsia="Times New Roman" w:hAnsi="Verdana" w:cs="Times New Roman"/>
          <w:color w:val="000000"/>
          <w:sz w:val="18"/>
          <w:szCs w:val="18"/>
        </w:rPr>
        <w:t>is</w:t>
      </w:r>
      <w:proofErr w:type="gramEnd"/>
      <w:r w:rsidRPr="00275A7A">
        <w:rPr>
          <w:rFonts w:ascii="Verdana" w:eastAsia="Times New Roman" w:hAnsi="Verdana" w:cs="Times New Roman"/>
          <w:color w:val="000000"/>
          <w:sz w:val="18"/>
          <w:szCs w:val="18"/>
        </w:rPr>
        <w:t xml:space="preserve"> in conflict with the public interest,</w:t>
      </w:r>
    </w:p>
    <w:p w:rsidR="00275A7A" w:rsidRPr="00275A7A" w:rsidRDefault="00275A7A" w:rsidP="00275A7A">
      <w:pPr>
        <w:spacing w:before="180" w:after="0" w:line="240" w:lineRule="auto"/>
        <w:ind w:left="567" w:right="567"/>
        <w:jc w:val="both"/>
        <w:rPr>
          <w:rFonts w:ascii="Verdana" w:eastAsia="Times New Roman" w:hAnsi="Verdana" w:cs="Times New Roman"/>
          <w:color w:val="000000"/>
          <w:sz w:val="18"/>
          <w:szCs w:val="18"/>
        </w:rPr>
      </w:pPr>
      <w:proofErr w:type="gramStart"/>
      <w:r w:rsidRPr="00275A7A">
        <w:rPr>
          <w:rFonts w:ascii="Verdana" w:eastAsia="Times New Roman" w:hAnsi="Verdana" w:cs="Times New Roman"/>
          <w:color w:val="000000"/>
          <w:sz w:val="18"/>
          <w:szCs w:val="18"/>
        </w:rPr>
        <w:t>the</w:t>
      </w:r>
      <w:proofErr w:type="gramEnd"/>
      <w:r w:rsidRPr="00275A7A">
        <w:rPr>
          <w:rFonts w:ascii="Verdana" w:eastAsia="Times New Roman" w:hAnsi="Verdana" w:cs="Times New Roman"/>
          <w:color w:val="000000"/>
          <w:sz w:val="18"/>
          <w:szCs w:val="18"/>
        </w:rPr>
        <w:t xml:space="preserve"> Court may, on the application of the trustee or any person who in the opinion of the Court has a sufficient interest in the trust property, delete or vary any such provision or make in respect thereof any order which such Court deems just . . . "</w:t>
      </w:r>
    </w:p>
    <w:p w:rsidR="00275A7A" w:rsidRPr="00275A7A" w:rsidRDefault="00275A7A" w:rsidP="00275A7A">
      <w:pPr>
        <w:spacing w:before="180" w:after="0" w:line="240" w:lineRule="auto"/>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[30</w:t>
      </w:r>
      <w:proofErr w:type="gramStart"/>
      <w:r w:rsidRPr="00275A7A">
        <w:rPr>
          <w:rFonts w:ascii="Verdana" w:eastAsia="Times New Roman" w:hAnsi="Verdana" w:cs="Times New Roman"/>
          <w:color w:val="000000"/>
          <w:sz w:val="18"/>
          <w:szCs w:val="18"/>
        </w:rPr>
        <w:t>]  I</w:t>
      </w:r>
      <w:proofErr w:type="gramEnd"/>
      <w:r w:rsidRPr="00275A7A">
        <w:rPr>
          <w:rFonts w:ascii="Verdana" w:eastAsia="Times New Roman" w:hAnsi="Verdana" w:cs="Times New Roman"/>
          <w:color w:val="000000"/>
          <w:sz w:val="18"/>
          <w:szCs w:val="18"/>
        </w:rPr>
        <w:t xml:space="preserve"> do not agree that section 13 supports the authority assumed by the court </w:t>
      </w:r>
      <w:r w:rsidRPr="00275A7A">
        <w:rPr>
          <w:rFonts w:ascii="Verdana" w:eastAsia="Times New Roman" w:hAnsi="Verdana" w:cs="Times New Roman"/>
          <w:i/>
          <w:iCs/>
          <w:color w:val="000000"/>
          <w:sz w:val="18"/>
          <w:szCs w:val="18"/>
        </w:rPr>
        <w:t>a quo</w:t>
      </w:r>
      <w:r w:rsidRPr="00275A7A">
        <w:rPr>
          <w:rFonts w:ascii="Verdana" w:eastAsia="Times New Roman" w:hAnsi="Verdana" w:cs="Times New Roman"/>
          <w:color w:val="000000"/>
          <w:sz w:val="18"/>
          <w:szCs w:val="18"/>
        </w:rPr>
        <w:t xml:space="preserve">. I say this for two reasons. First, I find no provision in the original trust deed which brings about any consequence that could not be foreseen by the founder. </w:t>
      </w:r>
    </w:p>
    <w:p w:rsidR="00275A7A" w:rsidRPr="00275A7A" w:rsidRDefault="00275A7A" w:rsidP="00275A7A">
      <w:pPr>
        <w:spacing w:before="360" w:after="0" w:line="240" w:lineRule="auto"/>
        <w:rPr>
          <w:rFonts w:ascii="Verdana" w:eastAsia="Times New Roman" w:hAnsi="Verdana" w:cs="Times New Roman"/>
          <w:b/>
          <w:bCs/>
          <w:color w:val="000000"/>
          <w:sz w:val="16"/>
          <w:szCs w:val="16"/>
        </w:rPr>
      </w:pPr>
      <w:r w:rsidRPr="00275A7A">
        <w:rPr>
          <w:rFonts w:ascii="Verdana" w:eastAsia="Times New Roman" w:hAnsi="Verdana" w:cs="Times New Roman"/>
          <w:b/>
          <w:bCs/>
          <w:color w:val="000000"/>
          <w:sz w:val="16"/>
          <w:szCs w:val="16"/>
        </w:rPr>
        <w:t>Page 19 of [2011] JOL 27892 (SCA)</w:t>
      </w:r>
    </w:p>
    <w:p w:rsidR="00275A7A" w:rsidRPr="00275A7A" w:rsidRDefault="00275A7A" w:rsidP="00275A7A">
      <w:pPr>
        <w:spacing w:before="180" w:after="0" w:line="240" w:lineRule="auto"/>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 xml:space="preserve">The consequences which the court </w:t>
      </w:r>
      <w:r w:rsidRPr="00275A7A">
        <w:rPr>
          <w:rFonts w:ascii="Verdana" w:eastAsia="Times New Roman" w:hAnsi="Verdana" w:cs="Times New Roman"/>
          <w:i/>
          <w:iCs/>
          <w:color w:val="000000"/>
          <w:sz w:val="18"/>
          <w:szCs w:val="18"/>
        </w:rPr>
        <w:t xml:space="preserve">a quo </w:t>
      </w:r>
      <w:r w:rsidRPr="00275A7A">
        <w:rPr>
          <w:rFonts w:ascii="Verdana" w:eastAsia="Times New Roman" w:hAnsi="Verdana" w:cs="Times New Roman"/>
          <w:color w:val="000000"/>
          <w:sz w:val="18"/>
          <w:szCs w:val="18"/>
        </w:rPr>
        <w:t>found untenable were brought about by an application of common law principles, not by any provision of the trust deed. My second reason is that no-one brought an application as contemplated by section 13. The explanation for this omission should probably be ascribed to my first reason, namely that there is no provision in the original trust deed that could be objected to and therefore no basis for an application under the section.</w:t>
      </w:r>
    </w:p>
    <w:p w:rsidR="00275A7A" w:rsidRPr="00275A7A" w:rsidRDefault="00275A7A" w:rsidP="00275A7A">
      <w:pPr>
        <w:spacing w:before="180" w:after="0" w:line="240" w:lineRule="auto"/>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 xml:space="preserve">[31]  As the second basis for its authority to deviate from common law principles, the court </w:t>
      </w:r>
      <w:r w:rsidRPr="00275A7A">
        <w:rPr>
          <w:rFonts w:ascii="Verdana" w:eastAsia="Times New Roman" w:hAnsi="Verdana" w:cs="Times New Roman"/>
          <w:i/>
          <w:iCs/>
          <w:color w:val="000000"/>
          <w:sz w:val="18"/>
          <w:szCs w:val="18"/>
        </w:rPr>
        <w:t xml:space="preserve">a quo </w:t>
      </w:r>
      <w:r w:rsidRPr="00275A7A">
        <w:rPr>
          <w:rFonts w:ascii="Verdana" w:eastAsia="Times New Roman" w:hAnsi="Verdana" w:cs="Times New Roman"/>
          <w:color w:val="000000"/>
          <w:sz w:val="18"/>
          <w:szCs w:val="18"/>
        </w:rPr>
        <w:t xml:space="preserve">relied on the majority judgment of the constitutional court by </w:t>
      </w:r>
      <w:proofErr w:type="spellStart"/>
      <w:r w:rsidRPr="00275A7A">
        <w:rPr>
          <w:rFonts w:ascii="Verdana" w:eastAsia="Times New Roman" w:hAnsi="Verdana" w:cs="Times New Roman"/>
          <w:color w:val="000000"/>
          <w:sz w:val="18"/>
          <w:szCs w:val="18"/>
        </w:rPr>
        <w:t>Ngcobo</w:t>
      </w:r>
      <w:proofErr w:type="spellEnd"/>
      <w:r w:rsidRPr="00275A7A">
        <w:rPr>
          <w:rFonts w:ascii="Verdana" w:eastAsia="Times New Roman" w:hAnsi="Verdana" w:cs="Times New Roman"/>
          <w:color w:val="000000"/>
          <w:sz w:val="18"/>
          <w:szCs w:val="18"/>
        </w:rPr>
        <w:t xml:space="preserve"> J in </w:t>
      </w:r>
      <w:proofErr w:type="spellStart"/>
      <w:r w:rsidRPr="00275A7A">
        <w:rPr>
          <w:rFonts w:ascii="Verdana" w:eastAsia="Times New Roman" w:hAnsi="Verdana" w:cs="Times New Roman"/>
          <w:i/>
          <w:iCs/>
          <w:color w:val="000000"/>
          <w:sz w:val="18"/>
          <w:szCs w:val="18"/>
        </w:rPr>
        <w:t>Barkhuizen</w:t>
      </w:r>
      <w:proofErr w:type="spellEnd"/>
      <w:r w:rsidRPr="00275A7A">
        <w:rPr>
          <w:rFonts w:ascii="Verdana" w:eastAsia="Times New Roman" w:hAnsi="Verdana" w:cs="Times New Roman"/>
          <w:i/>
          <w:iCs/>
          <w:color w:val="000000"/>
          <w:sz w:val="18"/>
          <w:szCs w:val="18"/>
        </w:rPr>
        <w:t xml:space="preserve"> v Napier </w:t>
      </w:r>
      <w:r w:rsidRPr="00275A7A">
        <w:rPr>
          <w:rFonts w:ascii="Verdana" w:eastAsia="Times New Roman" w:hAnsi="Verdana" w:cs="Times New Roman"/>
          <w:color w:val="000000"/>
          <w:sz w:val="18"/>
          <w:szCs w:val="18"/>
        </w:rPr>
        <w:t xml:space="preserve">2007 (5) SA 323 (CC) [also reported at </w:t>
      </w:r>
      <w:hyperlink r:id="rId11" w:anchor="g0" w:history="1">
        <w:r w:rsidRPr="00275A7A">
          <w:rPr>
            <w:rFonts w:ascii="Verdana" w:eastAsia="Times New Roman" w:hAnsi="Verdana" w:cs="Times New Roman"/>
            <w:color w:val="008000"/>
            <w:sz w:val="18"/>
            <w:szCs w:val="18"/>
            <w:u w:val="single"/>
          </w:rPr>
          <w:t>2007 (7) BCLR 691 (CC)</w:t>
        </w:r>
      </w:hyperlink>
      <w:r w:rsidRPr="00275A7A">
        <w:rPr>
          <w:rFonts w:ascii="Verdana" w:eastAsia="Times New Roman" w:hAnsi="Verdana" w:cs="Times New Roman"/>
          <w:color w:val="000000"/>
          <w:sz w:val="18"/>
          <w:szCs w:val="18"/>
        </w:rPr>
        <w:t xml:space="preserve"> – Ed]. According to the court </w:t>
      </w:r>
      <w:r w:rsidRPr="00275A7A">
        <w:rPr>
          <w:rFonts w:ascii="Verdana" w:eastAsia="Times New Roman" w:hAnsi="Verdana" w:cs="Times New Roman"/>
          <w:i/>
          <w:iCs/>
          <w:color w:val="000000"/>
          <w:sz w:val="18"/>
          <w:szCs w:val="18"/>
        </w:rPr>
        <w:t>a quo</w:t>
      </w:r>
      <w:r w:rsidRPr="00275A7A">
        <w:rPr>
          <w:rFonts w:ascii="Verdana" w:eastAsia="Times New Roman" w:hAnsi="Verdana" w:cs="Times New Roman"/>
          <w:color w:val="000000"/>
          <w:sz w:val="18"/>
          <w:szCs w:val="18"/>
        </w:rPr>
        <w:t>'s interpretation of that judgment, it provides authority for the following propositions:</w:t>
      </w:r>
    </w:p>
    <w:p w:rsidR="00275A7A" w:rsidRPr="00275A7A" w:rsidRDefault="00275A7A" w:rsidP="00275A7A">
      <w:pPr>
        <w:spacing w:before="180" w:after="0" w:line="240" w:lineRule="auto"/>
        <w:ind w:left="567" w:hanging="567"/>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(a)</w:t>
      </w:r>
    </w:p>
    <w:p w:rsidR="00275A7A" w:rsidRPr="00275A7A" w:rsidRDefault="00275A7A" w:rsidP="00275A7A">
      <w:pPr>
        <w:spacing w:after="0" w:line="240" w:lineRule="auto"/>
        <w:ind w:left="567"/>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under our new constitutional dispensation it is part of our contract law that, as a matter of public policy, our courts can refuse to give effect to the implementation of contractual provisions which it regards as unreasonable and unfair; and</w:t>
      </w:r>
    </w:p>
    <w:p w:rsidR="00275A7A" w:rsidRPr="00275A7A" w:rsidRDefault="00275A7A" w:rsidP="00275A7A">
      <w:pPr>
        <w:spacing w:before="180" w:after="0" w:line="240" w:lineRule="auto"/>
        <w:ind w:left="567" w:hanging="567"/>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(b)</w:t>
      </w:r>
    </w:p>
    <w:p w:rsidR="00275A7A" w:rsidRPr="00275A7A" w:rsidRDefault="00275A7A" w:rsidP="00275A7A">
      <w:pPr>
        <w:spacing w:after="0" w:line="240" w:lineRule="auto"/>
        <w:ind w:left="567"/>
        <w:jc w:val="both"/>
        <w:rPr>
          <w:rFonts w:ascii="Verdana" w:eastAsia="Times New Roman" w:hAnsi="Verdana" w:cs="Times New Roman"/>
          <w:color w:val="000000"/>
          <w:sz w:val="18"/>
          <w:szCs w:val="18"/>
        </w:rPr>
      </w:pPr>
      <w:proofErr w:type="gramStart"/>
      <w:r w:rsidRPr="00275A7A">
        <w:rPr>
          <w:rFonts w:ascii="Verdana" w:eastAsia="Times New Roman" w:hAnsi="Verdana" w:cs="Times New Roman"/>
          <w:color w:val="000000"/>
          <w:sz w:val="18"/>
          <w:szCs w:val="18"/>
        </w:rPr>
        <w:t>the</w:t>
      </w:r>
      <w:proofErr w:type="gramEnd"/>
      <w:r w:rsidRPr="00275A7A">
        <w:rPr>
          <w:rFonts w:ascii="Verdana" w:eastAsia="Times New Roman" w:hAnsi="Verdana" w:cs="Times New Roman"/>
          <w:color w:val="000000"/>
          <w:sz w:val="18"/>
          <w:szCs w:val="18"/>
        </w:rPr>
        <w:t xml:space="preserve"> same principle should be applied in other spheres of private law.</w:t>
      </w:r>
    </w:p>
    <w:p w:rsidR="00275A7A" w:rsidRPr="00275A7A" w:rsidRDefault="00275A7A" w:rsidP="00275A7A">
      <w:pPr>
        <w:spacing w:before="180" w:after="0" w:line="240" w:lineRule="auto"/>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[32</w:t>
      </w:r>
      <w:proofErr w:type="gramStart"/>
      <w:r w:rsidRPr="00275A7A">
        <w:rPr>
          <w:rFonts w:ascii="Verdana" w:eastAsia="Times New Roman" w:hAnsi="Verdana" w:cs="Times New Roman"/>
          <w:color w:val="000000"/>
          <w:sz w:val="18"/>
          <w:szCs w:val="18"/>
        </w:rPr>
        <w:t>]  I</w:t>
      </w:r>
      <w:proofErr w:type="gramEnd"/>
      <w:r w:rsidRPr="00275A7A">
        <w:rPr>
          <w:rFonts w:ascii="Verdana" w:eastAsia="Times New Roman" w:hAnsi="Verdana" w:cs="Times New Roman"/>
          <w:color w:val="000000"/>
          <w:sz w:val="18"/>
          <w:szCs w:val="18"/>
        </w:rPr>
        <w:t xml:space="preserve"> find the court </w:t>
      </w:r>
      <w:r w:rsidRPr="00275A7A">
        <w:rPr>
          <w:rFonts w:ascii="Verdana" w:eastAsia="Times New Roman" w:hAnsi="Verdana" w:cs="Times New Roman"/>
          <w:i/>
          <w:iCs/>
          <w:color w:val="000000"/>
          <w:sz w:val="18"/>
          <w:szCs w:val="18"/>
        </w:rPr>
        <w:t>a quo</w:t>
      </w:r>
      <w:r w:rsidRPr="00275A7A">
        <w:rPr>
          <w:rFonts w:ascii="Verdana" w:eastAsia="Times New Roman" w:hAnsi="Verdana" w:cs="Times New Roman"/>
          <w:color w:val="000000"/>
          <w:sz w:val="18"/>
          <w:szCs w:val="18"/>
        </w:rPr>
        <w:t xml:space="preserve">'s approach fundamentally unsound. I do not believe the two propositions from which it departs are supported by the judgment of </w:t>
      </w:r>
      <w:proofErr w:type="spellStart"/>
      <w:r w:rsidRPr="00275A7A">
        <w:rPr>
          <w:rFonts w:ascii="Verdana" w:eastAsia="Times New Roman" w:hAnsi="Verdana" w:cs="Times New Roman"/>
          <w:color w:val="000000"/>
          <w:sz w:val="18"/>
          <w:szCs w:val="18"/>
        </w:rPr>
        <w:t>Ngcobo</w:t>
      </w:r>
      <w:proofErr w:type="spellEnd"/>
      <w:r w:rsidRPr="00275A7A">
        <w:rPr>
          <w:rFonts w:ascii="Verdana" w:eastAsia="Times New Roman" w:hAnsi="Verdana" w:cs="Times New Roman"/>
          <w:color w:val="000000"/>
          <w:sz w:val="18"/>
          <w:szCs w:val="18"/>
        </w:rPr>
        <w:t xml:space="preserve"> J in </w:t>
      </w:r>
      <w:proofErr w:type="spellStart"/>
      <w:r w:rsidRPr="00275A7A">
        <w:rPr>
          <w:rFonts w:ascii="Verdana" w:eastAsia="Times New Roman" w:hAnsi="Verdana" w:cs="Times New Roman"/>
          <w:i/>
          <w:iCs/>
          <w:color w:val="000000"/>
          <w:sz w:val="18"/>
          <w:szCs w:val="18"/>
        </w:rPr>
        <w:t>Barkhuizen</w:t>
      </w:r>
      <w:proofErr w:type="spellEnd"/>
      <w:r w:rsidRPr="00275A7A">
        <w:rPr>
          <w:rFonts w:ascii="Verdana" w:eastAsia="Times New Roman" w:hAnsi="Verdana" w:cs="Times New Roman"/>
          <w:color w:val="000000"/>
          <w:sz w:val="18"/>
          <w:szCs w:val="18"/>
        </w:rPr>
        <w:t xml:space="preserve">. Nor does the first proposition reflect the principles of our law of contract as they stand. Reasonableness and fairness are not freestanding requirements for the exercise of a contractual right. That much was pertinently held </w:t>
      </w:r>
      <w:r w:rsidRPr="00275A7A">
        <w:rPr>
          <w:rFonts w:ascii="Verdana" w:eastAsia="Times New Roman" w:hAnsi="Verdana" w:cs="Times New Roman"/>
          <w:color w:val="000000"/>
          <w:sz w:val="18"/>
          <w:szCs w:val="18"/>
        </w:rPr>
        <w:lastRenderedPageBreak/>
        <w:t xml:space="preserve">in </w:t>
      </w:r>
      <w:proofErr w:type="spellStart"/>
      <w:r w:rsidRPr="00275A7A">
        <w:rPr>
          <w:rFonts w:ascii="Verdana" w:eastAsia="Times New Roman" w:hAnsi="Verdana" w:cs="Times New Roman"/>
          <w:i/>
          <w:iCs/>
          <w:color w:val="000000"/>
          <w:sz w:val="18"/>
          <w:szCs w:val="18"/>
        </w:rPr>
        <w:t>Bredenkamp</w:t>
      </w:r>
      <w:proofErr w:type="spellEnd"/>
      <w:r w:rsidRPr="00275A7A">
        <w:rPr>
          <w:rFonts w:ascii="Verdana" w:eastAsia="Times New Roman" w:hAnsi="Verdana" w:cs="Times New Roman"/>
          <w:i/>
          <w:iCs/>
          <w:color w:val="000000"/>
          <w:sz w:val="18"/>
          <w:szCs w:val="18"/>
        </w:rPr>
        <w:t xml:space="preserve"> v Standard Bank of South Africa Ltd </w:t>
      </w:r>
      <w:r w:rsidRPr="00275A7A">
        <w:rPr>
          <w:rFonts w:ascii="Verdana" w:eastAsia="Times New Roman" w:hAnsi="Verdana" w:cs="Times New Roman"/>
          <w:color w:val="000000"/>
          <w:sz w:val="18"/>
          <w:szCs w:val="18"/>
        </w:rPr>
        <w:t xml:space="preserve">2010 (4) SA 468 (SCA) paragraph 53 [also reported at </w:t>
      </w:r>
      <w:hyperlink r:id="rId12" w:anchor="g0" w:history="1">
        <w:r w:rsidRPr="00275A7A">
          <w:rPr>
            <w:rFonts w:ascii="Verdana" w:eastAsia="Times New Roman" w:hAnsi="Verdana" w:cs="Times New Roman"/>
            <w:color w:val="008000"/>
            <w:sz w:val="18"/>
            <w:szCs w:val="18"/>
            <w:u w:val="single"/>
          </w:rPr>
          <w:t>[2010] 4 All SA 113 (SCA)</w:t>
        </w:r>
      </w:hyperlink>
      <w:r w:rsidRPr="00275A7A">
        <w:rPr>
          <w:rFonts w:ascii="Verdana" w:eastAsia="Times New Roman" w:hAnsi="Verdana" w:cs="Times New Roman"/>
          <w:color w:val="000000"/>
          <w:sz w:val="18"/>
          <w:szCs w:val="18"/>
        </w:rPr>
        <w:t xml:space="preserve">; </w:t>
      </w:r>
      <w:hyperlink r:id="rId13" w:anchor="g0" w:history="1">
        <w:r w:rsidRPr="00275A7A">
          <w:rPr>
            <w:rFonts w:ascii="Verdana" w:eastAsia="Times New Roman" w:hAnsi="Verdana" w:cs="Times New Roman"/>
            <w:color w:val="008000"/>
            <w:sz w:val="18"/>
            <w:szCs w:val="18"/>
            <w:u w:val="single"/>
          </w:rPr>
          <w:t>2010 (9) BCLR 892 (SCA)</w:t>
        </w:r>
      </w:hyperlink>
      <w:r w:rsidRPr="00275A7A">
        <w:rPr>
          <w:rFonts w:ascii="Verdana" w:eastAsia="Times New Roman" w:hAnsi="Verdana" w:cs="Times New Roman"/>
          <w:color w:val="000000"/>
          <w:sz w:val="18"/>
          <w:szCs w:val="18"/>
        </w:rPr>
        <w:t xml:space="preserve"> – Ed]. As to the role of these abstract values in our law of contract this Court expressed itself as follows in </w:t>
      </w:r>
      <w:r w:rsidRPr="00275A7A">
        <w:rPr>
          <w:rFonts w:ascii="Verdana" w:eastAsia="Times New Roman" w:hAnsi="Verdana" w:cs="Times New Roman"/>
          <w:i/>
          <w:iCs/>
          <w:color w:val="000000"/>
          <w:sz w:val="18"/>
          <w:szCs w:val="18"/>
        </w:rPr>
        <w:t xml:space="preserve">South African Forestry Co Ltd v York Timbers Ltd </w:t>
      </w:r>
      <w:r w:rsidRPr="00275A7A">
        <w:rPr>
          <w:rFonts w:ascii="Verdana" w:eastAsia="Times New Roman" w:hAnsi="Verdana" w:cs="Times New Roman"/>
          <w:color w:val="000000"/>
          <w:sz w:val="18"/>
          <w:szCs w:val="18"/>
        </w:rPr>
        <w:t xml:space="preserve">2005 (3) SA 323 (SCA) paragraph 27 [also reported at </w:t>
      </w:r>
      <w:hyperlink r:id="rId14" w:anchor="g0" w:history="1">
        <w:r w:rsidRPr="00275A7A">
          <w:rPr>
            <w:rFonts w:ascii="Verdana" w:eastAsia="Times New Roman" w:hAnsi="Verdana" w:cs="Times New Roman"/>
            <w:color w:val="008000"/>
            <w:sz w:val="18"/>
            <w:szCs w:val="18"/>
            <w:u w:val="single"/>
          </w:rPr>
          <w:t>[2004] 4 All SA 168 (SCA)</w:t>
        </w:r>
      </w:hyperlink>
      <w:r w:rsidRPr="00275A7A">
        <w:rPr>
          <w:rFonts w:ascii="Verdana" w:eastAsia="Times New Roman" w:hAnsi="Verdana" w:cs="Times New Roman"/>
          <w:color w:val="000000"/>
          <w:sz w:val="18"/>
          <w:szCs w:val="18"/>
        </w:rPr>
        <w:t xml:space="preserve"> – Ed]:</w:t>
      </w:r>
    </w:p>
    <w:p w:rsidR="00275A7A" w:rsidRPr="00275A7A" w:rsidRDefault="00275A7A" w:rsidP="00275A7A">
      <w:pPr>
        <w:spacing w:before="180" w:after="0" w:line="240" w:lineRule="auto"/>
        <w:ind w:left="567" w:right="567"/>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"[A]</w:t>
      </w:r>
      <w:proofErr w:type="spellStart"/>
      <w:r w:rsidRPr="00275A7A">
        <w:rPr>
          <w:rFonts w:ascii="Verdana" w:eastAsia="Times New Roman" w:hAnsi="Verdana" w:cs="Times New Roman"/>
          <w:color w:val="000000"/>
          <w:sz w:val="18"/>
          <w:szCs w:val="18"/>
        </w:rPr>
        <w:t>lthough</w:t>
      </w:r>
      <w:proofErr w:type="spellEnd"/>
      <w:r w:rsidRPr="00275A7A">
        <w:rPr>
          <w:rFonts w:ascii="Verdana" w:eastAsia="Times New Roman" w:hAnsi="Verdana" w:cs="Times New Roman"/>
          <w:color w:val="000000"/>
          <w:sz w:val="18"/>
          <w:szCs w:val="18"/>
        </w:rPr>
        <w:t xml:space="preserve"> abstract values such as good faith, reasonableness and fairness are fundamental to our law of contract, they do not constitute independent substantive rules that Courts can employ to intervene in contractual relations. These abstract values </w:t>
      </w:r>
    </w:p>
    <w:p w:rsidR="00275A7A" w:rsidRPr="00275A7A" w:rsidRDefault="00275A7A" w:rsidP="00275A7A">
      <w:pPr>
        <w:spacing w:before="360" w:after="0" w:line="240" w:lineRule="auto"/>
        <w:rPr>
          <w:rFonts w:ascii="Verdana" w:eastAsia="Times New Roman" w:hAnsi="Verdana" w:cs="Times New Roman"/>
          <w:b/>
          <w:bCs/>
          <w:color w:val="000000"/>
          <w:sz w:val="16"/>
          <w:szCs w:val="16"/>
        </w:rPr>
      </w:pPr>
      <w:r w:rsidRPr="00275A7A">
        <w:rPr>
          <w:rFonts w:ascii="Verdana" w:eastAsia="Times New Roman" w:hAnsi="Verdana" w:cs="Times New Roman"/>
          <w:b/>
          <w:bCs/>
          <w:color w:val="000000"/>
          <w:sz w:val="16"/>
          <w:szCs w:val="16"/>
        </w:rPr>
        <w:t>Page 20 of [2011] JOL 27892 (SCA)</w:t>
      </w:r>
    </w:p>
    <w:p w:rsidR="00275A7A" w:rsidRPr="00275A7A" w:rsidRDefault="00275A7A" w:rsidP="00275A7A">
      <w:pPr>
        <w:spacing w:before="180" w:after="0" w:line="240" w:lineRule="auto"/>
        <w:ind w:left="567" w:right="567"/>
        <w:jc w:val="both"/>
        <w:rPr>
          <w:rFonts w:ascii="Verdana" w:eastAsia="Times New Roman" w:hAnsi="Verdana" w:cs="Times New Roman"/>
          <w:color w:val="000000"/>
          <w:sz w:val="18"/>
          <w:szCs w:val="18"/>
        </w:rPr>
      </w:pPr>
      <w:proofErr w:type="gramStart"/>
      <w:r w:rsidRPr="00275A7A">
        <w:rPr>
          <w:rFonts w:ascii="Verdana" w:eastAsia="Times New Roman" w:hAnsi="Verdana" w:cs="Times New Roman"/>
          <w:color w:val="000000"/>
          <w:sz w:val="18"/>
          <w:szCs w:val="18"/>
        </w:rPr>
        <w:t>perform</w:t>
      </w:r>
      <w:proofErr w:type="gramEnd"/>
      <w:r w:rsidRPr="00275A7A">
        <w:rPr>
          <w:rFonts w:ascii="Verdana" w:eastAsia="Times New Roman" w:hAnsi="Verdana" w:cs="Times New Roman"/>
          <w:color w:val="000000"/>
          <w:sz w:val="18"/>
          <w:szCs w:val="18"/>
        </w:rPr>
        <w:t xml:space="preserve"> creative, informative and controlling functions through established rules of the law of contract. They cannot be acted upon by the Courts directly. Acceptance of the notion that judges can refuse to enforce a contractual provision merely because it offends their personal sense of fairness and equity will give rise to legal and commercial uncertainty."</w:t>
      </w:r>
    </w:p>
    <w:p w:rsidR="00275A7A" w:rsidRPr="00275A7A" w:rsidRDefault="00275A7A" w:rsidP="00275A7A">
      <w:pPr>
        <w:spacing w:before="180" w:after="0" w:line="240" w:lineRule="auto"/>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 xml:space="preserve">(See also </w:t>
      </w:r>
      <w:proofErr w:type="spellStart"/>
      <w:r w:rsidRPr="00275A7A">
        <w:rPr>
          <w:rFonts w:ascii="Verdana" w:eastAsia="Times New Roman" w:hAnsi="Verdana" w:cs="Times New Roman"/>
          <w:color w:val="000000"/>
          <w:sz w:val="18"/>
          <w:szCs w:val="18"/>
        </w:rPr>
        <w:t>eg</w:t>
      </w:r>
      <w:proofErr w:type="spellEnd"/>
      <w:r w:rsidRPr="00275A7A">
        <w:rPr>
          <w:rFonts w:ascii="Verdana" w:eastAsia="Times New Roman" w:hAnsi="Verdana" w:cs="Times New Roman"/>
          <w:color w:val="000000"/>
          <w:sz w:val="18"/>
          <w:szCs w:val="18"/>
        </w:rPr>
        <w:t xml:space="preserve"> </w:t>
      </w:r>
      <w:proofErr w:type="spellStart"/>
      <w:r w:rsidRPr="00275A7A">
        <w:rPr>
          <w:rFonts w:ascii="Verdana" w:eastAsia="Times New Roman" w:hAnsi="Verdana" w:cs="Times New Roman"/>
          <w:i/>
          <w:iCs/>
          <w:color w:val="000000"/>
          <w:sz w:val="18"/>
          <w:szCs w:val="18"/>
        </w:rPr>
        <w:t>Brisley</w:t>
      </w:r>
      <w:proofErr w:type="spellEnd"/>
      <w:r w:rsidRPr="00275A7A">
        <w:rPr>
          <w:rFonts w:ascii="Verdana" w:eastAsia="Times New Roman" w:hAnsi="Verdana" w:cs="Times New Roman"/>
          <w:i/>
          <w:iCs/>
          <w:color w:val="000000"/>
          <w:sz w:val="18"/>
          <w:szCs w:val="18"/>
        </w:rPr>
        <w:t xml:space="preserve"> v </w:t>
      </w:r>
      <w:proofErr w:type="spellStart"/>
      <w:r w:rsidRPr="00275A7A">
        <w:rPr>
          <w:rFonts w:ascii="Verdana" w:eastAsia="Times New Roman" w:hAnsi="Verdana" w:cs="Times New Roman"/>
          <w:i/>
          <w:iCs/>
          <w:color w:val="000000"/>
          <w:sz w:val="18"/>
          <w:szCs w:val="18"/>
        </w:rPr>
        <w:t>Drotsky</w:t>
      </w:r>
      <w:proofErr w:type="spellEnd"/>
      <w:r w:rsidRPr="00275A7A">
        <w:rPr>
          <w:rFonts w:ascii="Verdana" w:eastAsia="Times New Roman" w:hAnsi="Verdana" w:cs="Times New Roman"/>
          <w:i/>
          <w:iCs/>
          <w:color w:val="000000"/>
          <w:sz w:val="18"/>
          <w:szCs w:val="18"/>
        </w:rPr>
        <w:t xml:space="preserve"> </w:t>
      </w:r>
      <w:r w:rsidRPr="00275A7A">
        <w:rPr>
          <w:rFonts w:ascii="Verdana" w:eastAsia="Times New Roman" w:hAnsi="Verdana" w:cs="Times New Roman"/>
          <w:color w:val="000000"/>
          <w:sz w:val="18"/>
          <w:szCs w:val="18"/>
        </w:rPr>
        <w:t xml:space="preserve">2002 (4) SA 1 (SCA) paragraphs 21 – 24 and 93 – 95 [also reported at [2002] JOL 9693 (A) – Ed]; </w:t>
      </w:r>
      <w:proofErr w:type="spellStart"/>
      <w:r w:rsidRPr="00275A7A">
        <w:rPr>
          <w:rFonts w:ascii="Verdana" w:eastAsia="Times New Roman" w:hAnsi="Verdana" w:cs="Times New Roman"/>
          <w:i/>
          <w:iCs/>
          <w:color w:val="000000"/>
          <w:sz w:val="18"/>
          <w:szCs w:val="18"/>
        </w:rPr>
        <w:t>Maphango</w:t>
      </w:r>
      <w:proofErr w:type="spellEnd"/>
      <w:r w:rsidRPr="00275A7A">
        <w:rPr>
          <w:rFonts w:ascii="Verdana" w:eastAsia="Times New Roman" w:hAnsi="Verdana" w:cs="Times New Roman"/>
          <w:i/>
          <w:iCs/>
          <w:color w:val="000000"/>
          <w:sz w:val="18"/>
          <w:szCs w:val="18"/>
        </w:rPr>
        <w:t xml:space="preserve"> v </w:t>
      </w:r>
      <w:proofErr w:type="spellStart"/>
      <w:r w:rsidRPr="00275A7A">
        <w:rPr>
          <w:rFonts w:ascii="Verdana" w:eastAsia="Times New Roman" w:hAnsi="Verdana" w:cs="Times New Roman"/>
          <w:i/>
          <w:iCs/>
          <w:color w:val="000000"/>
          <w:sz w:val="18"/>
          <w:szCs w:val="18"/>
        </w:rPr>
        <w:t>Aengus</w:t>
      </w:r>
      <w:proofErr w:type="spellEnd"/>
      <w:r w:rsidRPr="00275A7A">
        <w:rPr>
          <w:rFonts w:ascii="Verdana" w:eastAsia="Times New Roman" w:hAnsi="Verdana" w:cs="Times New Roman"/>
          <w:i/>
          <w:iCs/>
          <w:color w:val="000000"/>
          <w:sz w:val="18"/>
          <w:szCs w:val="18"/>
        </w:rPr>
        <w:t xml:space="preserve"> Lifestyle Properties </w:t>
      </w:r>
      <w:r w:rsidRPr="00275A7A">
        <w:rPr>
          <w:rFonts w:ascii="Verdana" w:eastAsia="Times New Roman" w:hAnsi="Verdana" w:cs="Times New Roman"/>
          <w:color w:val="000000"/>
          <w:sz w:val="18"/>
          <w:szCs w:val="18"/>
        </w:rPr>
        <w:t>2011 (5) SA 19 (SCA) paragraphs 22 – 25.)</w:t>
      </w:r>
    </w:p>
    <w:p w:rsidR="00275A7A" w:rsidRPr="00275A7A" w:rsidRDefault="00275A7A" w:rsidP="00275A7A">
      <w:pPr>
        <w:spacing w:before="180" w:after="0" w:line="240" w:lineRule="auto"/>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[33</w:t>
      </w:r>
      <w:proofErr w:type="gramStart"/>
      <w:r w:rsidRPr="00275A7A">
        <w:rPr>
          <w:rFonts w:ascii="Verdana" w:eastAsia="Times New Roman" w:hAnsi="Verdana" w:cs="Times New Roman"/>
          <w:color w:val="000000"/>
          <w:sz w:val="18"/>
          <w:szCs w:val="18"/>
        </w:rPr>
        <w:t>]  In</w:t>
      </w:r>
      <w:proofErr w:type="gramEnd"/>
      <w:r w:rsidRPr="00275A7A">
        <w:rPr>
          <w:rFonts w:ascii="Verdana" w:eastAsia="Times New Roman" w:hAnsi="Verdana" w:cs="Times New Roman"/>
          <w:color w:val="000000"/>
          <w:sz w:val="18"/>
          <w:szCs w:val="18"/>
        </w:rPr>
        <w:t xml:space="preserve"> </w:t>
      </w:r>
      <w:proofErr w:type="spellStart"/>
      <w:r w:rsidRPr="00275A7A">
        <w:rPr>
          <w:rFonts w:ascii="Verdana" w:eastAsia="Times New Roman" w:hAnsi="Verdana" w:cs="Times New Roman"/>
          <w:i/>
          <w:iCs/>
          <w:color w:val="000000"/>
          <w:sz w:val="18"/>
          <w:szCs w:val="18"/>
        </w:rPr>
        <w:t>Barkhuizen</w:t>
      </w:r>
      <w:proofErr w:type="spellEnd"/>
      <w:r w:rsidRPr="00275A7A">
        <w:rPr>
          <w:rFonts w:ascii="Verdana" w:eastAsia="Times New Roman" w:hAnsi="Verdana" w:cs="Times New Roman"/>
          <w:color w:val="000000"/>
          <w:sz w:val="18"/>
          <w:szCs w:val="18"/>
        </w:rPr>
        <w:t xml:space="preserve">, </w:t>
      </w:r>
      <w:proofErr w:type="spellStart"/>
      <w:r w:rsidRPr="00275A7A">
        <w:rPr>
          <w:rFonts w:ascii="Verdana" w:eastAsia="Times New Roman" w:hAnsi="Verdana" w:cs="Times New Roman"/>
          <w:color w:val="000000"/>
          <w:sz w:val="18"/>
          <w:szCs w:val="18"/>
        </w:rPr>
        <w:t>Ngcobo</w:t>
      </w:r>
      <w:proofErr w:type="spellEnd"/>
      <w:r w:rsidRPr="00275A7A">
        <w:rPr>
          <w:rFonts w:ascii="Verdana" w:eastAsia="Times New Roman" w:hAnsi="Verdana" w:cs="Times New Roman"/>
          <w:color w:val="000000"/>
          <w:sz w:val="18"/>
          <w:szCs w:val="18"/>
        </w:rPr>
        <w:t xml:space="preserve"> J first explained (paragraph 80) what he meant by the notion of "good faith", namely that it encompasses the concepts of justice, reasonableness and fairness. He then proceeded to express the principles of our law, as formulated by this Court, </w:t>
      </w:r>
      <w:r w:rsidRPr="00275A7A">
        <w:rPr>
          <w:rFonts w:ascii="Verdana" w:eastAsia="Times New Roman" w:hAnsi="Verdana" w:cs="Times New Roman"/>
          <w:i/>
          <w:iCs/>
          <w:color w:val="000000"/>
          <w:sz w:val="18"/>
          <w:szCs w:val="18"/>
        </w:rPr>
        <w:t>inter alia</w:t>
      </w:r>
      <w:r w:rsidRPr="00275A7A">
        <w:rPr>
          <w:rFonts w:ascii="Verdana" w:eastAsia="Times New Roman" w:hAnsi="Verdana" w:cs="Times New Roman"/>
          <w:color w:val="000000"/>
          <w:sz w:val="18"/>
          <w:szCs w:val="18"/>
        </w:rPr>
        <w:t xml:space="preserve">, in </w:t>
      </w:r>
      <w:proofErr w:type="spellStart"/>
      <w:r w:rsidRPr="00275A7A">
        <w:rPr>
          <w:rFonts w:ascii="Verdana" w:eastAsia="Times New Roman" w:hAnsi="Verdana" w:cs="Times New Roman"/>
          <w:i/>
          <w:iCs/>
          <w:color w:val="000000"/>
          <w:sz w:val="18"/>
          <w:szCs w:val="18"/>
        </w:rPr>
        <w:t>Brisley</w:t>
      </w:r>
      <w:proofErr w:type="spellEnd"/>
      <w:r w:rsidRPr="00275A7A">
        <w:rPr>
          <w:rFonts w:ascii="Verdana" w:eastAsia="Times New Roman" w:hAnsi="Verdana" w:cs="Times New Roman"/>
          <w:color w:val="000000"/>
          <w:sz w:val="18"/>
          <w:szCs w:val="18"/>
        </w:rPr>
        <w:t>, in the following terms (paragraph 82):</w:t>
      </w:r>
    </w:p>
    <w:p w:rsidR="00275A7A" w:rsidRPr="00275A7A" w:rsidRDefault="00275A7A" w:rsidP="00275A7A">
      <w:pPr>
        <w:spacing w:before="180" w:after="0" w:line="240" w:lineRule="auto"/>
        <w:ind w:left="567" w:right="567"/>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 xml:space="preserve">"As the law currently stands good faith is not a self-standing rule, but an underlying value that is given expression through existing rules of law. In this instance good faith is given effect to by the existing common-law rule that contractual clauses that are impossible to comply with should not be enforced . . . Whether, under the Constitution, this limited role of good faith is appropriate and whether the maxim </w:t>
      </w:r>
      <w:proofErr w:type="spellStart"/>
      <w:r w:rsidRPr="00275A7A">
        <w:rPr>
          <w:rFonts w:ascii="Verdana" w:eastAsia="Times New Roman" w:hAnsi="Verdana" w:cs="Times New Roman"/>
          <w:i/>
          <w:iCs/>
          <w:color w:val="000000"/>
          <w:sz w:val="18"/>
          <w:szCs w:val="18"/>
        </w:rPr>
        <w:t>lex</w:t>
      </w:r>
      <w:proofErr w:type="spellEnd"/>
      <w:r w:rsidRPr="00275A7A">
        <w:rPr>
          <w:rFonts w:ascii="Verdana" w:eastAsia="Times New Roman" w:hAnsi="Verdana" w:cs="Times New Roman"/>
          <w:i/>
          <w:iCs/>
          <w:color w:val="000000"/>
          <w:sz w:val="18"/>
          <w:szCs w:val="18"/>
        </w:rPr>
        <w:t xml:space="preserve"> non </w:t>
      </w:r>
      <w:proofErr w:type="spellStart"/>
      <w:r w:rsidRPr="00275A7A">
        <w:rPr>
          <w:rFonts w:ascii="Verdana" w:eastAsia="Times New Roman" w:hAnsi="Verdana" w:cs="Times New Roman"/>
          <w:i/>
          <w:iCs/>
          <w:color w:val="000000"/>
          <w:sz w:val="18"/>
          <w:szCs w:val="18"/>
        </w:rPr>
        <w:t>cogit</w:t>
      </w:r>
      <w:proofErr w:type="spellEnd"/>
      <w:r w:rsidRPr="00275A7A">
        <w:rPr>
          <w:rFonts w:ascii="Verdana" w:eastAsia="Times New Roman" w:hAnsi="Verdana" w:cs="Times New Roman"/>
          <w:i/>
          <w:iCs/>
          <w:color w:val="000000"/>
          <w:sz w:val="18"/>
          <w:szCs w:val="18"/>
        </w:rPr>
        <w:t xml:space="preserve"> ad </w:t>
      </w:r>
      <w:proofErr w:type="spellStart"/>
      <w:r w:rsidRPr="00275A7A">
        <w:rPr>
          <w:rFonts w:ascii="Verdana" w:eastAsia="Times New Roman" w:hAnsi="Verdana" w:cs="Times New Roman"/>
          <w:i/>
          <w:iCs/>
          <w:color w:val="000000"/>
          <w:sz w:val="18"/>
          <w:szCs w:val="18"/>
        </w:rPr>
        <w:t>impossibilia</w:t>
      </w:r>
      <w:proofErr w:type="spellEnd"/>
      <w:r w:rsidRPr="00275A7A">
        <w:rPr>
          <w:rFonts w:ascii="Verdana" w:eastAsia="Times New Roman" w:hAnsi="Verdana" w:cs="Times New Roman"/>
          <w:i/>
          <w:iCs/>
          <w:color w:val="000000"/>
          <w:sz w:val="18"/>
          <w:szCs w:val="18"/>
        </w:rPr>
        <w:t xml:space="preserve"> </w:t>
      </w:r>
      <w:r w:rsidRPr="00275A7A">
        <w:rPr>
          <w:rFonts w:ascii="Verdana" w:eastAsia="Times New Roman" w:hAnsi="Verdana" w:cs="Times New Roman"/>
          <w:color w:val="000000"/>
          <w:sz w:val="18"/>
          <w:szCs w:val="18"/>
        </w:rPr>
        <w:t>alone is sufficient to give effect to the value of good faith are, fortunately, not questions that need be answered on the facts of this case and I refrain from doing so."</w:t>
      </w:r>
    </w:p>
    <w:p w:rsidR="00275A7A" w:rsidRPr="00275A7A" w:rsidRDefault="00275A7A" w:rsidP="00275A7A">
      <w:pPr>
        <w:spacing w:before="180" w:after="0" w:line="240" w:lineRule="auto"/>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[34</w:t>
      </w:r>
      <w:proofErr w:type="gramStart"/>
      <w:r w:rsidRPr="00275A7A">
        <w:rPr>
          <w:rFonts w:ascii="Verdana" w:eastAsia="Times New Roman" w:hAnsi="Verdana" w:cs="Times New Roman"/>
          <w:color w:val="000000"/>
          <w:sz w:val="18"/>
          <w:szCs w:val="18"/>
        </w:rPr>
        <w:t>]  Unless</w:t>
      </w:r>
      <w:proofErr w:type="gramEnd"/>
      <w:r w:rsidRPr="00275A7A">
        <w:rPr>
          <w:rFonts w:ascii="Verdana" w:eastAsia="Times New Roman" w:hAnsi="Verdana" w:cs="Times New Roman"/>
          <w:color w:val="000000"/>
          <w:sz w:val="18"/>
          <w:szCs w:val="18"/>
        </w:rPr>
        <w:t xml:space="preserve"> and until the constitutional court holds otherwise, the law is therefore as stated by this Court, for example, in the cases of </w:t>
      </w:r>
      <w:r w:rsidRPr="00275A7A">
        <w:rPr>
          <w:rFonts w:ascii="Verdana" w:eastAsia="Times New Roman" w:hAnsi="Verdana" w:cs="Times New Roman"/>
          <w:i/>
          <w:iCs/>
          <w:color w:val="000000"/>
          <w:sz w:val="18"/>
          <w:szCs w:val="18"/>
        </w:rPr>
        <w:t>South African Forestry</w:t>
      </w:r>
      <w:r w:rsidRPr="00275A7A">
        <w:rPr>
          <w:rFonts w:ascii="Verdana" w:eastAsia="Times New Roman" w:hAnsi="Verdana" w:cs="Times New Roman"/>
          <w:color w:val="000000"/>
          <w:sz w:val="18"/>
          <w:szCs w:val="18"/>
        </w:rPr>
        <w:t xml:space="preserve">, </w:t>
      </w:r>
      <w:proofErr w:type="spellStart"/>
      <w:r w:rsidRPr="00275A7A">
        <w:rPr>
          <w:rFonts w:ascii="Verdana" w:eastAsia="Times New Roman" w:hAnsi="Verdana" w:cs="Times New Roman"/>
          <w:i/>
          <w:iCs/>
          <w:color w:val="000000"/>
          <w:sz w:val="18"/>
          <w:szCs w:val="18"/>
        </w:rPr>
        <w:t>Brisley</w:t>
      </w:r>
      <w:proofErr w:type="spellEnd"/>
      <w:r w:rsidRPr="00275A7A">
        <w:rPr>
          <w:rFonts w:ascii="Verdana" w:eastAsia="Times New Roman" w:hAnsi="Verdana" w:cs="Times New Roman"/>
          <w:i/>
          <w:iCs/>
          <w:color w:val="000000"/>
          <w:sz w:val="18"/>
          <w:szCs w:val="18"/>
        </w:rPr>
        <w:t xml:space="preserve">, </w:t>
      </w:r>
      <w:proofErr w:type="spellStart"/>
      <w:r w:rsidRPr="00275A7A">
        <w:rPr>
          <w:rFonts w:ascii="Verdana" w:eastAsia="Times New Roman" w:hAnsi="Verdana" w:cs="Times New Roman"/>
          <w:i/>
          <w:iCs/>
          <w:color w:val="000000"/>
          <w:sz w:val="18"/>
          <w:szCs w:val="18"/>
        </w:rPr>
        <w:t>Bredenkamp</w:t>
      </w:r>
      <w:proofErr w:type="spellEnd"/>
      <w:r w:rsidRPr="00275A7A">
        <w:rPr>
          <w:rFonts w:ascii="Verdana" w:eastAsia="Times New Roman" w:hAnsi="Verdana" w:cs="Times New Roman"/>
          <w:color w:val="000000"/>
          <w:sz w:val="18"/>
          <w:szCs w:val="18"/>
        </w:rPr>
        <w:t xml:space="preserve">, and </w:t>
      </w:r>
      <w:proofErr w:type="spellStart"/>
      <w:r w:rsidRPr="00275A7A">
        <w:rPr>
          <w:rFonts w:ascii="Verdana" w:eastAsia="Times New Roman" w:hAnsi="Verdana" w:cs="Times New Roman"/>
          <w:i/>
          <w:iCs/>
          <w:color w:val="000000"/>
          <w:sz w:val="18"/>
          <w:szCs w:val="18"/>
        </w:rPr>
        <w:t>Maphango</w:t>
      </w:r>
      <w:proofErr w:type="spellEnd"/>
      <w:r w:rsidRPr="00275A7A">
        <w:rPr>
          <w:rFonts w:ascii="Verdana" w:eastAsia="Times New Roman" w:hAnsi="Verdana" w:cs="Times New Roman"/>
          <w:i/>
          <w:iCs/>
          <w:color w:val="000000"/>
          <w:sz w:val="18"/>
          <w:szCs w:val="18"/>
        </w:rPr>
        <w:t xml:space="preserve"> </w:t>
      </w:r>
      <w:r w:rsidRPr="00275A7A">
        <w:rPr>
          <w:rFonts w:ascii="Verdana" w:eastAsia="Times New Roman" w:hAnsi="Verdana" w:cs="Times New Roman"/>
          <w:color w:val="000000"/>
          <w:sz w:val="18"/>
          <w:szCs w:val="18"/>
        </w:rPr>
        <w:t xml:space="preserve">which do not support the first proposition relied upon by the court </w:t>
      </w:r>
      <w:r w:rsidRPr="00275A7A">
        <w:rPr>
          <w:rFonts w:ascii="Verdana" w:eastAsia="Times New Roman" w:hAnsi="Verdana" w:cs="Times New Roman"/>
          <w:i/>
          <w:iCs/>
          <w:color w:val="000000"/>
          <w:sz w:val="18"/>
          <w:szCs w:val="18"/>
        </w:rPr>
        <w:t>a quo</w:t>
      </w:r>
      <w:r w:rsidRPr="00275A7A">
        <w:rPr>
          <w:rFonts w:ascii="Verdana" w:eastAsia="Times New Roman" w:hAnsi="Verdana" w:cs="Times New Roman"/>
          <w:color w:val="000000"/>
          <w:sz w:val="18"/>
          <w:szCs w:val="18"/>
        </w:rPr>
        <w:t xml:space="preserve">. As to the second proposition, it follows, in my </w:t>
      </w:r>
      <w:proofErr w:type="gramStart"/>
      <w:r w:rsidRPr="00275A7A">
        <w:rPr>
          <w:rFonts w:ascii="Verdana" w:eastAsia="Times New Roman" w:hAnsi="Verdana" w:cs="Times New Roman"/>
          <w:color w:val="000000"/>
          <w:sz w:val="18"/>
          <w:szCs w:val="18"/>
        </w:rPr>
        <w:t>view, that</w:t>
      </w:r>
      <w:proofErr w:type="gramEnd"/>
      <w:r w:rsidRPr="00275A7A">
        <w:rPr>
          <w:rFonts w:ascii="Verdana" w:eastAsia="Times New Roman" w:hAnsi="Verdana" w:cs="Times New Roman"/>
          <w:color w:val="000000"/>
          <w:sz w:val="18"/>
          <w:szCs w:val="18"/>
        </w:rPr>
        <w:t xml:space="preserve"> the supposed principle of contract law perceived by the court </w:t>
      </w:r>
      <w:r w:rsidRPr="00275A7A">
        <w:rPr>
          <w:rFonts w:ascii="Verdana" w:eastAsia="Times New Roman" w:hAnsi="Verdana" w:cs="Times New Roman"/>
          <w:i/>
          <w:iCs/>
          <w:color w:val="000000"/>
          <w:sz w:val="18"/>
          <w:szCs w:val="18"/>
        </w:rPr>
        <w:t xml:space="preserve">a quo </w:t>
      </w:r>
      <w:r w:rsidRPr="00275A7A">
        <w:rPr>
          <w:rFonts w:ascii="Verdana" w:eastAsia="Times New Roman" w:hAnsi="Verdana" w:cs="Times New Roman"/>
          <w:color w:val="000000"/>
          <w:sz w:val="18"/>
          <w:szCs w:val="18"/>
        </w:rPr>
        <w:t xml:space="preserve">cannot be extended to other parts of the law. In addition, the reason why our law cannot endorse the notion that judges may decide cases on the basis of what they regard as reasonable and fair, is essentially that it will give rise to intolerable legal uncertainty. That much has been illustrated by past experience. Reasonable people, including judges, may often differ on what is </w:t>
      </w:r>
    </w:p>
    <w:p w:rsidR="00275A7A" w:rsidRPr="00275A7A" w:rsidRDefault="00275A7A" w:rsidP="00275A7A">
      <w:pPr>
        <w:spacing w:before="360" w:after="0" w:line="240" w:lineRule="auto"/>
        <w:rPr>
          <w:rFonts w:ascii="Verdana" w:eastAsia="Times New Roman" w:hAnsi="Verdana" w:cs="Times New Roman"/>
          <w:b/>
          <w:bCs/>
          <w:color w:val="000000"/>
          <w:sz w:val="16"/>
          <w:szCs w:val="16"/>
        </w:rPr>
      </w:pPr>
      <w:r w:rsidRPr="00275A7A">
        <w:rPr>
          <w:rFonts w:ascii="Verdana" w:eastAsia="Times New Roman" w:hAnsi="Verdana" w:cs="Times New Roman"/>
          <w:b/>
          <w:bCs/>
          <w:color w:val="000000"/>
          <w:sz w:val="16"/>
          <w:szCs w:val="16"/>
        </w:rPr>
        <w:t>Page 21 of [2011] JOL 27892 (SCA)</w:t>
      </w:r>
    </w:p>
    <w:p w:rsidR="00275A7A" w:rsidRPr="00275A7A" w:rsidRDefault="00275A7A" w:rsidP="00275A7A">
      <w:pPr>
        <w:spacing w:before="180" w:after="0" w:line="240" w:lineRule="auto"/>
        <w:jc w:val="both"/>
        <w:rPr>
          <w:rFonts w:ascii="Verdana" w:eastAsia="Times New Roman" w:hAnsi="Verdana" w:cs="Times New Roman"/>
          <w:color w:val="000000"/>
          <w:sz w:val="18"/>
          <w:szCs w:val="18"/>
        </w:rPr>
      </w:pPr>
      <w:proofErr w:type="gramStart"/>
      <w:r w:rsidRPr="00275A7A">
        <w:rPr>
          <w:rFonts w:ascii="Verdana" w:eastAsia="Times New Roman" w:hAnsi="Verdana" w:cs="Times New Roman"/>
          <w:color w:val="000000"/>
          <w:sz w:val="18"/>
          <w:szCs w:val="18"/>
        </w:rPr>
        <w:t>equitable</w:t>
      </w:r>
      <w:proofErr w:type="gramEnd"/>
      <w:r w:rsidRPr="00275A7A">
        <w:rPr>
          <w:rFonts w:ascii="Verdana" w:eastAsia="Times New Roman" w:hAnsi="Verdana" w:cs="Times New Roman"/>
          <w:color w:val="000000"/>
          <w:sz w:val="18"/>
          <w:szCs w:val="18"/>
        </w:rPr>
        <w:t xml:space="preserve"> and fair. The outcome in any particular case will thus depend on the personal idiosyncrasies of the individual judge. Or, as Van den </w:t>
      </w:r>
      <w:proofErr w:type="spellStart"/>
      <w:r w:rsidRPr="00275A7A">
        <w:rPr>
          <w:rFonts w:ascii="Verdana" w:eastAsia="Times New Roman" w:hAnsi="Verdana" w:cs="Times New Roman"/>
          <w:color w:val="000000"/>
          <w:sz w:val="18"/>
          <w:szCs w:val="18"/>
        </w:rPr>
        <w:t>Heever</w:t>
      </w:r>
      <w:proofErr w:type="spellEnd"/>
      <w:r w:rsidRPr="00275A7A">
        <w:rPr>
          <w:rFonts w:ascii="Verdana" w:eastAsia="Times New Roman" w:hAnsi="Verdana" w:cs="Times New Roman"/>
          <w:color w:val="000000"/>
          <w:sz w:val="18"/>
          <w:szCs w:val="18"/>
        </w:rPr>
        <w:t xml:space="preserve"> JA put it in </w:t>
      </w:r>
      <w:proofErr w:type="spellStart"/>
      <w:r w:rsidRPr="00275A7A">
        <w:rPr>
          <w:rFonts w:ascii="Verdana" w:eastAsia="Times New Roman" w:hAnsi="Verdana" w:cs="Times New Roman"/>
          <w:i/>
          <w:iCs/>
          <w:color w:val="000000"/>
          <w:sz w:val="18"/>
          <w:szCs w:val="18"/>
        </w:rPr>
        <w:t>Preller</w:t>
      </w:r>
      <w:proofErr w:type="spellEnd"/>
      <w:r w:rsidRPr="00275A7A">
        <w:rPr>
          <w:rFonts w:ascii="Verdana" w:eastAsia="Times New Roman" w:hAnsi="Verdana" w:cs="Times New Roman"/>
          <w:i/>
          <w:iCs/>
          <w:color w:val="000000"/>
          <w:sz w:val="18"/>
          <w:szCs w:val="18"/>
        </w:rPr>
        <w:t xml:space="preserve"> v </w:t>
      </w:r>
      <w:proofErr w:type="spellStart"/>
      <w:r w:rsidRPr="00275A7A">
        <w:rPr>
          <w:rFonts w:ascii="Verdana" w:eastAsia="Times New Roman" w:hAnsi="Verdana" w:cs="Times New Roman"/>
          <w:i/>
          <w:iCs/>
          <w:color w:val="000000"/>
          <w:sz w:val="18"/>
          <w:szCs w:val="18"/>
        </w:rPr>
        <w:t>Jordaan</w:t>
      </w:r>
      <w:proofErr w:type="spellEnd"/>
      <w:r w:rsidRPr="00275A7A">
        <w:rPr>
          <w:rFonts w:ascii="Verdana" w:eastAsia="Times New Roman" w:hAnsi="Verdana" w:cs="Times New Roman"/>
          <w:i/>
          <w:iCs/>
          <w:color w:val="000000"/>
          <w:sz w:val="18"/>
          <w:szCs w:val="18"/>
        </w:rPr>
        <w:t xml:space="preserve"> </w:t>
      </w:r>
      <w:r w:rsidRPr="00275A7A">
        <w:rPr>
          <w:rFonts w:ascii="Verdana" w:eastAsia="Times New Roman" w:hAnsi="Verdana" w:cs="Times New Roman"/>
          <w:color w:val="000000"/>
          <w:sz w:val="18"/>
          <w:szCs w:val="18"/>
        </w:rPr>
        <w:t xml:space="preserve">1956 (1) SA 483 (A) at 500 [also reported at </w:t>
      </w:r>
      <w:hyperlink r:id="rId15" w:anchor="g0" w:history="1">
        <w:r w:rsidRPr="00275A7A">
          <w:rPr>
            <w:rFonts w:ascii="Verdana" w:eastAsia="Times New Roman" w:hAnsi="Verdana" w:cs="Times New Roman"/>
            <w:color w:val="008000"/>
            <w:sz w:val="18"/>
            <w:szCs w:val="18"/>
            <w:u w:val="single"/>
          </w:rPr>
          <w:t>[1956] 2 All SA 35 (A)</w:t>
        </w:r>
      </w:hyperlink>
      <w:r w:rsidRPr="00275A7A">
        <w:rPr>
          <w:rFonts w:ascii="Verdana" w:eastAsia="Times New Roman" w:hAnsi="Verdana" w:cs="Times New Roman"/>
          <w:color w:val="000000"/>
          <w:sz w:val="18"/>
          <w:szCs w:val="18"/>
        </w:rPr>
        <w:t xml:space="preserve"> – Ed], if judges are allowed to decide cases on the basis of what they regard as reasonable and fair, the criterion will no longer be the law but the judge. (See also </w:t>
      </w:r>
      <w:proofErr w:type="spellStart"/>
      <w:r w:rsidRPr="00275A7A">
        <w:rPr>
          <w:rFonts w:ascii="Verdana" w:eastAsia="Times New Roman" w:hAnsi="Verdana" w:cs="Times New Roman"/>
          <w:i/>
          <w:iCs/>
          <w:color w:val="000000"/>
          <w:sz w:val="18"/>
          <w:szCs w:val="18"/>
        </w:rPr>
        <w:t>Brisley</w:t>
      </w:r>
      <w:proofErr w:type="spellEnd"/>
      <w:r w:rsidRPr="00275A7A">
        <w:rPr>
          <w:rFonts w:ascii="Verdana" w:eastAsia="Times New Roman" w:hAnsi="Verdana" w:cs="Times New Roman"/>
          <w:i/>
          <w:iCs/>
          <w:color w:val="000000"/>
          <w:sz w:val="18"/>
          <w:szCs w:val="18"/>
        </w:rPr>
        <w:t xml:space="preserve"> </w:t>
      </w:r>
      <w:r w:rsidRPr="00275A7A">
        <w:rPr>
          <w:rFonts w:ascii="Verdana" w:eastAsia="Times New Roman" w:hAnsi="Verdana" w:cs="Times New Roman"/>
          <w:color w:val="000000"/>
          <w:sz w:val="18"/>
          <w:szCs w:val="18"/>
        </w:rPr>
        <w:t xml:space="preserve">paragraph 24; </w:t>
      </w:r>
      <w:proofErr w:type="spellStart"/>
      <w:r w:rsidRPr="00275A7A">
        <w:rPr>
          <w:rFonts w:ascii="Verdana" w:eastAsia="Times New Roman" w:hAnsi="Verdana" w:cs="Times New Roman"/>
          <w:i/>
          <w:iCs/>
          <w:color w:val="000000"/>
          <w:sz w:val="18"/>
          <w:szCs w:val="18"/>
        </w:rPr>
        <w:t>Bredenkamp</w:t>
      </w:r>
      <w:proofErr w:type="spellEnd"/>
      <w:r w:rsidRPr="00275A7A">
        <w:rPr>
          <w:rFonts w:ascii="Verdana" w:eastAsia="Times New Roman" w:hAnsi="Verdana" w:cs="Times New Roman"/>
          <w:i/>
          <w:iCs/>
          <w:color w:val="000000"/>
          <w:sz w:val="18"/>
          <w:szCs w:val="18"/>
        </w:rPr>
        <w:t xml:space="preserve"> </w:t>
      </w:r>
      <w:r w:rsidRPr="00275A7A">
        <w:rPr>
          <w:rFonts w:ascii="Verdana" w:eastAsia="Times New Roman" w:hAnsi="Verdana" w:cs="Times New Roman"/>
          <w:color w:val="000000"/>
          <w:sz w:val="18"/>
          <w:szCs w:val="18"/>
        </w:rPr>
        <w:t xml:space="preserve">paragraph 38; PM </w:t>
      </w:r>
      <w:proofErr w:type="spellStart"/>
      <w:r w:rsidRPr="00275A7A">
        <w:rPr>
          <w:rFonts w:ascii="Verdana" w:eastAsia="Times New Roman" w:hAnsi="Verdana" w:cs="Times New Roman"/>
          <w:color w:val="000000"/>
          <w:sz w:val="18"/>
          <w:szCs w:val="18"/>
        </w:rPr>
        <w:t>Nienaber</w:t>
      </w:r>
      <w:proofErr w:type="spellEnd"/>
      <w:r w:rsidRPr="00275A7A">
        <w:rPr>
          <w:rFonts w:ascii="Verdana" w:eastAsia="Times New Roman" w:hAnsi="Verdana" w:cs="Times New Roman"/>
          <w:color w:val="000000"/>
          <w:sz w:val="18"/>
          <w:szCs w:val="18"/>
        </w:rPr>
        <w:t xml:space="preserve"> "</w:t>
      </w:r>
      <w:proofErr w:type="spellStart"/>
      <w:r w:rsidRPr="00275A7A">
        <w:rPr>
          <w:rFonts w:ascii="Verdana" w:eastAsia="Times New Roman" w:hAnsi="Verdana" w:cs="Times New Roman"/>
          <w:i/>
          <w:iCs/>
          <w:color w:val="000000"/>
          <w:sz w:val="18"/>
          <w:szCs w:val="18"/>
        </w:rPr>
        <w:t>Regters</w:t>
      </w:r>
      <w:proofErr w:type="spellEnd"/>
      <w:r w:rsidRPr="00275A7A">
        <w:rPr>
          <w:rFonts w:ascii="Verdana" w:eastAsia="Times New Roman" w:hAnsi="Verdana" w:cs="Times New Roman"/>
          <w:i/>
          <w:iCs/>
          <w:color w:val="000000"/>
          <w:sz w:val="18"/>
          <w:szCs w:val="18"/>
        </w:rPr>
        <w:t xml:space="preserve"> en </w:t>
      </w:r>
      <w:proofErr w:type="spellStart"/>
      <w:r w:rsidRPr="00275A7A">
        <w:rPr>
          <w:rFonts w:ascii="Verdana" w:eastAsia="Times New Roman" w:hAnsi="Verdana" w:cs="Times New Roman"/>
          <w:i/>
          <w:iCs/>
          <w:color w:val="000000"/>
          <w:sz w:val="18"/>
          <w:szCs w:val="18"/>
        </w:rPr>
        <w:t>juriste</w:t>
      </w:r>
      <w:proofErr w:type="spellEnd"/>
      <w:r w:rsidRPr="00275A7A">
        <w:rPr>
          <w:rFonts w:ascii="Verdana" w:eastAsia="Times New Roman" w:hAnsi="Verdana" w:cs="Times New Roman"/>
          <w:color w:val="000000"/>
          <w:sz w:val="18"/>
          <w:szCs w:val="18"/>
        </w:rPr>
        <w:t xml:space="preserve">" 2000 TSAR 190 at 193; JJF </w:t>
      </w:r>
      <w:proofErr w:type="spellStart"/>
      <w:r w:rsidRPr="00275A7A">
        <w:rPr>
          <w:rFonts w:ascii="Verdana" w:eastAsia="Times New Roman" w:hAnsi="Verdana" w:cs="Times New Roman"/>
          <w:color w:val="000000"/>
          <w:sz w:val="18"/>
          <w:szCs w:val="18"/>
        </w:rPr>
        <w:t>Hefer</w:t>
      </w:r>
      <w:proofErr w:type="spellEnd"/>
      <w:r w:rsidRPr="00275A7A">
        <w:rPr>
          <w:rFonts w:ascii="Verdana" w:eastAsia="Times New Roman" w:hAnsi="Verdana" w:cs="Times New Roman"/>
          <w:color w:val="000000"/>
          <w:sz w:val="18"/>
          <w:szCs w:val="18"/>
        </w:rPr>
        <w:t xml:space="preserve"> "</w:t>
      </w:r>
      <w:proofErr w:type="spellStart"/>
      <w:r w:rsidRPr="00275A7A">
        <w:rPr>
          <w:rFonts w:ascii="Verdana" w:eastAsia="Times New Roman" w:hAnsi="Verdana" w:cs="Times New Roman"/>
          <w:i/>
          <w:iCs/>
          <w:color w:val="000000"/>
          <w:sz w:val="18"/>
          <w:szCs w:val="18"/>
        </w:rPr>
        <w:t>Billikheid</w:t>
      </w:r>
      <w:proofErr w:type="spellEnd"/>
      <w:r w:rsidRPr="00275A7A">
        <w:rPr>
          <w:rFonts w:ascii="Verdana" w:eastAsia="Times New Roman" w:hAnsi="Verdana" w:cs="Times New Roman"/>
          <w:i/>
          <w:iCs/>
          <w:color w:val="000000"/>
          <w:sz w:val="18"/>
          <w:szCs w:val="18"/>
        </w:rPr>
        <w:t xml:space="preserve"> in die </w:t>
      </w:r>
      <w:proofErr w:type="spellStart"/>
      <w:r w:rsidRPr="00275A7A">
        <w:rPr>
          <w:rFonts w:ascii="Verdana" w:eastAsia="Times New Roman" w:hAnsi="Verdana" w:cs="Times New Roman"/>
          <w:i/>
          <w:iCs/>
          <w:color w:val="000000"/>
          <w:sz w:val="18"/>
          <w:szCs w:val="18"/>
        </w:rPr>
        <w:t>kontraktereg</w:t>
      </w:r>
      <w:proofErr w:type="spellEnd"/>
      <w:r w:rsidRPr="00275A7A">
        <w:rPr>
          <w:rFonts w:ascii="Verdana" w:eastAsia="Times New Roman" w:hAnsi="Verdana" w:cs="Times New Roman"/>
          <w:i/>
          <w:iCs/>
          <w:color w:val="000000"/>
          <w:sz w:val="18"/>
          <w:szCs w:val="18"/>
        </w:rPr>
        <w:t xml:space="preserve"> </w:t>
      </w:r>
      <w:proofErr w:type="spellStart"/>
      <w:r w:rsidRPr="00275A7A">
        <w:rPr>
          <w:rFonts w:ascii="Verdana" w:eastAsia="Times New Roman" w:hAnsi="Verdana" w:cs="Times New Roman"/>
          <w:i/>
          <w:iCs/>
          <w:color w:val="000000"/>
          <w:sz w:val="18"/>
          <w:szCs w:val="18"/>
        </w:rPr>
        <w:t>volgens</w:t>
      </w:r>
      <w:proofErr w:type="spellEnd"/>
      <w:r w:rsidRPr="00275A7A">
        <w:rPr>
          <w:rFonts w:ascii="Verdana" w:eastAsia="Times New Roman" w:hAnsi="Verdana" w:cs="Times New Roman"/>
          <w:i/>
          <w:iCs/>
          <w:color w:val="000000"/>
          <w:sz w:val="18"/>
          <w:szCs w:val="18"/>
        </w:rPr>
        <w:t xml:space="preserve"> die </w:t>
      </w:r>
      <w:proofErr w:type="spellStart"/>
      <w:r w:rsidRPr="00275A7A">
        <w:rPr>
          <w:rFonts w:ascii="Verdana" w:eastAsia="Times New Roman" w:hAnsi="Verdana" w:cs="Times New Roman"/>
          <w:i/>
          <w:iCs/>
          <w:color w:val="000000"/>
          <w:sz w:val="18"/>
          <w:szCs w:val="18"/>
        </w:rPr>
        <w:t>Suid-Afrikaanse</w:t>
      </w:r>
      <w:proofErr w:type="spellEnd"/>
      <w:r w:rsidRPr="00275A7A">
        <w:rPr>
          <w:rFonts w:ascii="Verdana" w:eastAsia="Times New Roman" w:hAnsi="Verdana" w:cs="Times New Roman"/>
          <w:i/>
          <w:iCs/>
          <w:color w:val="000000"/>
          <w:sz w:val="18"/>
          <w:szCs w:val="18"/>
        </w:rPr>
        <w:t xml:space="preserve"> </w:t>
      </w:r>
      <w:proofErr w:type="spellStart"/>
      <w:r w:rsidRPr="00275A7A">
        <w:rPr>
          <w:rFonts w:ascii="Verdana" w:eastAsia="Times New Roman" w:hAnsi="Verdana" w:cs="Times New Roman"/>
          <w:i/>
          <w:iCs/>
          <w:color w:val="000000"/>
          <w:sz w:val="18"/>
          <w:szCs w:val="18"/>
        </w:rPr>
        <w:t>regskommissie</w:t>
      </w:r>
      <w:proofErr w:type="spellEnd"/>
      <w:r w:rsidRPr="00275A7A">
        <w:rPr>
          <w:rFonts w:ascii="Verdana" w:eastAsia="Times New Roman" w:hAnsi="Verdana" w:cs="Times New Roman"/>
          <w:color w:val="000000"/>
          <w:sz w:val="18"/>
          <w:szCs w:val="18"/>
        </w:rPr>
        <w:t>" 2000 TSAR 143.)</w:t>
      </w:r>
    </w:p>
    <w:p w:rsidR="00275A7A" w:rsidRPr="00275A7A" w:rsidRDefault="00275A7A" w:rsidP="00275A7A">
      <w:pPr>
        <w:spacing w:before="180" w:after="0" w:line="240" w:lineRule="auto"/>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[35</w:t>
      </w:r>
      <w:proofErr w:type="gramStart"/>
      <w:r w:rsidRPr="00275A7A">
        <w:rPr>
          <w:rFonts w:ascii="Verdana" w:eastAsia="Times New Roman" w:hAnsi="Verdana" w:cs="Times New Roman"/>
          <w:color w:val="000000"/>
          <w:sz w:val="18"/>
          <w:szCs w:val="18"/>
        </w:rPr>
        <w:t>]  This</w:t>
      </w:r>
      <w:proofErr w:type="gramEnd"/>
      <w:r w:rsidRPr="00275A7A">
        <w:rPr>
          <w:rFonts w:ascii="Verdana" w:eastAsia="Times New Roman" w:hAnsi="Verdana" w:cs="Times New Roman"/>
          <w:color w:val="000000"/>
          <w:sz w:val="18"/>
          <w:szCs w:val="18"/>
        </w:rPr>
        <w:t xml:space="preserve"> danger, I believe, is illustrated by what happened in this case. The court </w:t>
      </w:r>
      <w:r w:rsidRPr="00275A7A">
        <w:rPr>
          <w:rFonts w:ascii="Verdana" w:eastAsia="Times New Roman" w:hAnsi="Verdana" w:cs="Times New Roman"/>
          <w:i/>
          <w:iCs/>
          <w:color w:val="000000"/>
          <w:sz w:val="18"/>
          <w:szCs w:val="18"/>
        </w:rPr>
        <w:t xml:space="preserve">a quo </w:t>
      </w:r>
      <w:r w:rsidRPr="00275A7A">
        <w:rPr>
          <w:rFonts w:ascii="Verdana" w:eastAsia="Times New Roman" w:hAnsi="Verdana" w:cs="Times New Roman"/>
          <w:color w:val="000000"/>
          <w:sz w:val="18"/>
          <w:szCs w:val="18"/>
        </w:rPr>
        <w:t xml:space="preserve">obviously thought that it was fair to award two-fifths of the trust assets to the appellants. But some may wonder whether that is necessarily so. Without more, it is hard to say. The mere fact that the appellants are two out of five potential trust beneficiaries can hardly, in itself, justify that apportionment. A decision on fairness requires more background facts which were not fully ventilated on the papers. Moreover, </w:t>
      </w:r>
      <w:r w:rsidRPr="00275A7A">
        <w:rPr>
          <w:rFonts w:ascii="Verdana" w:eastAsia="Times New Roman" w:hAnsi="Verdana" w:cs="Times New Roman"/>
          <w:color w:val="000000"/>
          <w:sz w:val="18"/>
          <w:szCs w:val="18"/>
        </w:rPr>
        <w:lastRenderedPageBreak/>
        <w:t xml:space="preserve">there are numerous factual disputes on the papers that may impact on the issue of what is fair. To give but a few examples. On the respondents' version the relationship between the deceased and his son, the first appellant, was not good. According to </w:t>
      </w:r>
      <w:proofErr w:type="spellStart"/>
      <w:r w:rsidRPr="00275A7A">
        <w:rPr>
          <w:rFonts w:ascii="Verdana" w:eastAsia="Times New Roman" w:hAnsi="Verdana" w:cs="Times New Roman"/>
          <w:color w:val="000000"/>
          <w:sz w:val="18"/>
          <w:szCs w:val="18"/>
        </w:rPr>
        <w:t>Wessels</w:t>
      </w:r>
      <w:proofErr w:type="spellEnd"/>
      <w:r w:rsidRPr="00275A7A">
        <w:rPr>
          <w:rFonts w:ascii="Verdana" w:eastAsia="Times New Roman" w:hAnsi="Verdana" w:cs="Times New Roman"/>
          <w:color w:val="000000"/>
          <w:sz w:val="18"/>
          <w:szCs w:val="18"/>
        </w:rPr>
        <w:t xml:space="preserve">, the deceased regarded his son as a good for nothing </w:t>
      </w:r>
      <w:proofErr w:type="gramStart"/>
      <w:r w:rsidRPr="00275A7A">
        <w:rPr>
          <w:rFonts w:ascii="Verdana" w:eastAsia="Times New Roman" w:hAnsi="Verdana" w:cs="Times New Roman"/>
          <w:color w:val="000000"/>
          <w:sz w:val="18"/>
          <w:szCs w:val="18"/>
        </w:rPr>
        <w:t>who</w:t>
      </w:r>
      <w:proofErr w:type="gramEnd"/>
      <w:r w:rsidRPr="00275A7A">
        <w:rPr>
          <w:rFonts w:ascii="Verdana" w:eastAsia="Times New Roman" w:hAnsi="Verdana" w:cs="Times New Roman"/>
          <w:color w:val="000000"/>
          <w:sz w:val="18"/>
          <w:szCs w:val="18"/>
        </w:rPr>
        <w:t xml:space="preserve"> was unsuccessful in any business venture he turned to and who was quite willing to be maintained by his father. In stark contrast, the appellants' version, on the other hand, is that the first appellant was a successful businessman in his own right, who sold his own business ventures in order to join the business of his father, at the instance of the latter. Then there are the disputes surrounding the role of </w:t>
      </w:r>
      <w:proofErr w:type="spellStart"/>
      <w:r w:rsidRPr="00275A7A">
        <w:rPr>
          <w:rFonts w:ascii="Verdana" w:eastAsia="Times New Roman" w:hAnsi="Verdana" w:cs="Times New Roman"/>
          <w:color w:val="000000"/>
          <w:sz w:val="18"/>
          <w:szCs w:val="18"/>
        </w:rPr>
        <w:t>Wessels</w:t>
      </w:r>
      <w:proofErr w:type="spellEnd"/>
      <w:r w:rsidRPr="00275A7A">
        <w:rPr>
          <w:rFonts w:ascii="Verdana" w:eastAsia="Times New Roman" w:hAnsi="Verdana" w:cs="Times New Roman"/>
          <w:color w:val="000000"/>
          <w:sz w:val="18"/>
          <w:szCs w:val="18"/>
        </w:rPr>
        <w:t xml:space="preserve"> in the business and personal affairs of the deceased during his lifetime; the allegations about maladministration by the two trustees since the death of the deceased; and the dispute as to whether or not the trustees were responsible for the marked decline in the financial position of the trust.</w:t>
      </w:r>
    </w:p>
    <w:p w:rsidR="00275A7A" w:rsidRPr="00275A7A" w:rsidRDefault="00275A7A" w:rsidP="00275A7A">
      <w:pPr>
        <w:spacing w:before="360" w:after="0" w:line="240" w:lineRule="auto"/>
        <w:rPr>
          <w:rFonts w:ascii="Verdana" w:eastAsia="Times New Roman" w:hAnsi="Verdana" w:cs="Times New Roman"/>
          <w:b/>
          <w:bCs/>
          <w:color w:val="000000"/>
          <w:sz w:val="16"/>
          <w:szCs w:val="16"/>
        </w:rPr>
      </w:pPr>
      <w:r w:rsidRPr="00275A7A">
        <w:rPr>
          <w:rFonts w:ascii="Verdana" w:eastAsia="Times New Roman" w:hAnsi="Verdana" w:cs="Times New Roman"/>
          <w:b/>
          <w:bCs/>
          <w:color w:val="000000"/>
          <w:sz w:val="16"/>
          <w:szCs w:val="16"/>
        </w:rPr>
        <w:t>Page 22 of [2011] JOL 27892 (SCA)</w:t>
      </w:r>
    </w:p>
    <w:p w:rsidR="00275A7A" w:rsidRPr="00275A7A" w:rsidRDefault="00275A7A" w:rsidP="00275A7A">
      <w:pPr>
        <w:spacing w:before="180" w:after="0" w:line="240" w:lineRule="auto"/>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[36</w:t>
      </w:r>
      <w:proofErr w:type="gramStart"/>
      <w:r w:rsidRPr="00275A7A">
        <w:rPr>
          <w:rFonts w:ascii="Verdana" w:eastAsia="Times New Roman" w:hAnsi="Verdana" w:cs="Times New Roman"/>
          <w:color w:val="000000"/>
          <w:sz w:val="18"/>
          <w:szCs w:val="18"/>
        </w:rPr>
        <w:t>]  But</w:t>
      </w:r>
      <w:proofErr w:type="gramEnd"/>
      <w:r w:rsidRPr="00275A7A">
        <w:rPr>
          <w:rFonts w:ascii="Verdana" w:eastAsia="Times New Roman" w:hAnsi="Verdana" w:cs="Times New Roman"/>
          <w:color w:val="000000"/>
          <w:sz w:val="18"/>
          <w:szCs w:val="18"/>
        </w:rPr>
        <w:t xml:space="preserve"> be that as it may, I do not believe that the court </w:t>
      </w:r>
      <w:r w:rsidRPr="00275A7A">
        <w:rPr>
          <w:rFonts w:ascii="Verdana" w:eastAsia="Times New Roman" w:hAnsi="Verdana" w:cs="Times New Roman"/>
          <w:i/>
          <w:iCs/>
          <w:color w:val="000000"/>
          <w:sz w:val="18"/>
          <w:szCs w:val="18"/>
        </w:rPr>
        <w:t xml:space="preserve">a quo </w:t>
      </w:r>
      <w:r w:rsidRPr="00275A7A">
        <w:rPr>
          <w:rFonts w:ascii="Verdana" w:eastAsia="Times New Roman" w:hAnsi="Verdana" w:cs="Times New Roman"/>
          <w:color w:val="000000"/>
          <w:sz w:val="18"/>
          <w:szCs w:val="18"/>
        </w:rPr>
        <w:t xml:space="preserve">had any option but to follow the tenets of common law. Its decision to do otherwise in my view offended the principle of legality, which I regard as part of the rule of law, which in turn constitutes a founding value in terms of section 1 of our Constitution. I thus find myself in agreement with Harms DP when he said in </w:t>
      </w:r>
      <w:proofErr w:type="spellStart"/>
      <w:r w:rsidRPr="00275A7A">
        <w:rPr>
          <w:rFonts w:ascii="Verdana" w:eastAsia="Times New Roman" w:hAnsi="Verdana" w:cs="Times New Roman"/>
          <w:i/>
          <w:iCs/>
          <w:color w:val="000000"/>
          <w:sz w:val="18"/>
          <w:szCs w:val="18"/>
        </w:rPr>
        <w:t>Bredenkamp</w:t>
      </w:r>
      <w:proofErr w:type="spellEnd"/>
      <w:r w:rsidRPr="00275A7A">
        <w:rPr>
          <w:rFonts w:ascii="Verdana" w:eastAsia="Times New Roman" w:hAnsi="Verdana" w:cs="Times New Roman"/>
          <w:i/>
          <w:iCs/>
          <w:color w:val="000000"/>
          <w:sz w:val="18"/>
          <w:szCs w:val="18"/>
        </w:rPr>
        <w:t xml:space="preserve"> </w:t>
      </w:r>
      <w:r w:rsidRPr="00275A7A">
        <w:rPr>
          <w:rFonts w:ascii="Verdana" w:eastAsia="Times New Roman" w:hAnsi="Verdana" w:cs="Times New Roman"/>
          <w:color w:val="000000"/>
          <w:sz w:val="18"/>
          <w:szCs w:val="18"/>
        </w:rPr>
        <w:t>(paragraph 39):</w:t>
      </w:r>
    </w:p>
    <w:p w:rsidR="00275A7A" w:rsidRPr="00275A7A" w:rsidRDefault="00275A7A" w:rsidP="00275A7A">
      <w:pPr>
        <w:spacing w:before="180" w:after="0" w:line="240" w:lineRule="auto"/>
        <w:ind w:left="567" w:right="567"/>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 xml:space="preserve">"A constitutional principle that tends to be overlooked, when </w:t>
      </w:r>
      <w:proofErr w:type="spellStart"/>
      <w:r w:rsidRPr="00275A7A">
        <w:rPr>
          <w:rFonts w:ascii="Verdana" w:eastAsia="Times New Roman" w:hAnsi="Verdana" w:cs="Times New Roman"/>
          <w:color w:val="000000"/>
          <w:sz w:val="18"/>
          <w:szCs w:val="18"/>
        </w:rPr>
        <w:t>generalised</w:t>
      </w:r>
      <w:proofErr w:type="spellEnd"/>
      <w:r w:rsidRPr="00275A7A">
        <w:rPr>
          <w:rFonts w:ascii="Verdana" w:eastAsia="Times New Roman" w:hAnsi="Verdana" w:cs="Times New Roman"/>
          <w:color w:val="000000"/>
          <w:sz w:val="18"/>
          <w:szCs w:val="18"/>
        </w:rPr>
        <w:t xml:space="preserve"> resort to constitutional values is made, is the principle of legality. Making rules of law discretionary or subject to value judgments may be destructive of the rule of law."</w:t>
      </w:r>
    </w:p>
    <w:p w:rsidR="00275A7A" w:rsidRPr="00275A7A" w:rsidRDefault="00275A7A" w:rsidP="00275A7A">
      <w:pPr>
        <w:spacing w:before="180" w:after="0" w:line="240" w:lineRule="auto"/>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[37</w:t>
      </w:r>
      <w:proofErr w:type="gramStart"/>
      <w:r w:rsidRPr="00275A7A">
        <w:rPr>
          <w:rFonts w:ascii="Verdana" w:eastAsia="Times New Roman" w:hAnsi="Verdana" w:cs="Times New Roman"/>
          <w:color w:val="000000"/>
          <w:sz w:val="18"/>
          <w:szCs w:val="18"/>
        </w:rPr>
        <w:t>]  As</w:t>
      </w:r>
      <w:proofErr w:type="gramEnd"/>
      <w:r w:rsidRPr="00275A7A">
        <w:rPr>
          <w:rFonts w:ascii="Verdana" w:eastAsia="Times New Roman" w:hAnsi="Verdana" w:cs="Times New Roman"/>
          <w:color w:val="000000"/>
          <w:sz w:val="18"/>
          <w:szCs w:val="18"/>
        </w:rPr>
        <w:t xml:space="preserve"> to the result dictated by the tenets of common law in this case, I can again only agree with what the court </w:t>
      </w:r>
      <w:r w:rsidRPr="00275A7A">
        <w:rPr>
          <w:rFonts w:ascii="Verdana" w:eastAsia="Times New Roman" w:hAnsi="Verdana" w:cs="Times New Roman"/>
          <w:i/>
          <w:iCs/>
          <w:color w:val="000000"/>
          <w:sz w:val="18"/>
          <w:szCs w:val="18"/>
        </w:rPr>
        <w:t xml:space="preserve">a quo </w:t>
      </w:r>
      <w:r w:rsidRPr="00275A7A">
        <w:rPr>
          <w:rFonts w:ascii="Verdana" w:eastAsia="Times New Roman" w:hAnsi="Verdana" w:cs="Times New Roman"/>
          <w:color w:val="000000"/>
          <w:sz w:val="18"/>
          <w:szCs w:val="18"/>
        </w:rPr>
        <w:t xml:space="preserve">itself said. Succinctly stated it is this: the variation of the trust deed was invalid for lack of consent by the beneficiaries who had previously accepted the benefits bestowed upon them in terms of the trust deed. Hence the original provisions of the trust deed, prior to the purported amendment, must prevail. </w:t>
      </w:r>
      <w:r w:rsidRPr="00275A7A">
        <w:rPr>
          <w:rFonts w:ascii="Verdana" w:eastAsia="Times New Roman" w:hAnsi="Verdana" w:cs="Times New Roman"/>
          <w:i/>
          <w:iCs/>
          <w:color w:val="000000"/>
          <w:sz w:val="18"/>
          <w:szCs w:val="18"/>
        </w:rPr>
        <w:t>Prima facie</w:t>
      </w:r>
      <w:r w:rsidRPr="00275A7A">
        <w:rPr>
          <w:rFonts w:ascii="Verdana" w:eastAsia="Times New Roman" w:hAnsi="Verdana" w:cs="Times New Roman"/>
          <w:color w:val="000000"/>
          <w:sz w:val="18"/>
          <w:szCs w:val="18"/>
        </w:rPr>
        <w:t xml:space="preserve">, the appellants were therefore entitled to a </w:t>
      </w:r>
      <w:proofErr w:type="spellStart"/>
      <w:r w:rsidRPr="00275A7A">
        <w:rPr>
          <w:rFonts w:ascii="Verdana" w:eastAsia="Times New Roman" w:hAnsi="Verdana" w:cs="Times New Roman"/>
          <w:color w:val="000000"/>
          <w:sz w:val="18"/>
          <w:szCs w:val="18"/>
        </w:rPr>
        <w:t>declarator</w:t>
      </w:r>
      <w:proofErr w:type="spellEnd"/>
      <w:r w:rsidRPr="00275A7A">
        <w:rPr>
          <w:rFonts w:ascii="Verdana" w:eastAsia="Times New Roman" w:hAnsi="Verdana" w:cs="Times New Roman"/>
          <w:color w:val="000000"/>
          <w:sz w:val="18"/>
          <w:szCs w:val="18"/>
        </w:rPr>
        <w:t xml:space="preserve"> confirming that conclusion, which was what they sought. The respondents' final argument as to why the appellants were not so entitled rested on two suppositions:</w:t>
      </w:r>
    </w:p>
    <w:p w:rsidR="00275A7A" w:rsidRPr="00275A7A" w:rsidRDefault="00275A7A" w:rsidP="00275A7A">
      <w:pPr>
        <w:spacing w:before="180" w:after="0" w:line="240" w:lineRule="auto"/>
        <w:ind w:left="567" w:hanging="567"/>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(a)</w:t>
      </w:r>
    </w:p>
    <w:p w:rsidR="00275A7A" w:rsidRPr="00275A7A" w:rsidRDefault="00275A7A" w:rsidP="00275A7A">
      <w:pPr>
        <w:spacing w:after="0" w:line="240" w:lineRule="auto"/>
        <w:ind w:left="567"/>
        <w:jc w:val="both"/>
        <w:rPr>
          <w:rFonts w:ascii="Verdana" w:eastAsia="Times New Roman" w:hAnsi="Verdana" w:cs="Times New Roman"/>
          <w:color w:val="000000"/>
          <w:sz w:val="18"/>
          <w:szCs w:val="18"/>
        </w:rPr>
      </w:pPr>
      <w:proofErr w:type="gramStart"/>
      <w:r w:rsidRPr="00275A7A">
        <w:rPr>
          <w:rFonts w:ascii="Verdana" w:eastAsia="Times New Roman" w:hAnsi="Verdana" w:cs="Times New Roman"/>
          <w:color w:val="000000"/>
          <w:sz w:val="18"/>
          <w:szCs w:val="18"/>
        </w:rPr>
        <w:t>that</w:t>
      </w:r>
      <w:proofErr w:type="gramEnd"/>
      <w:r w:rsidRPr="00275A7A">
        <w:rPr>
          <w:rFonts w:ascii="Verdana" w:eastAsia="Times New Roman" w:hAnsi="Verdana" w:cs="Times New Roman"/>
          <w:color w:val="000000"/>
          <w:sz w:val="18"/>
          <w:szCs w:val="18"/>
        </w:rPr>
        <w:t xml:space="preserve"> the appellants' claim was essentially for specific performance of the terms of the original trust deed; and</w:t>
      </w:r>
    </w:p>
    <w:p w:rsidR="00275A7A" w:rsidRPr="00275A7A" w:rsidRDefault="00275A7A" w:rsidP="00275A7A">
      <w:pPr>
        <w:spacing w:before="180" w:after="0" w:line="240" w:lineRule="auto"/>
        <w:ind w:left="567" w:hanging="567"/>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(b)</w:t>
      </w:r>
    </w:p>
    <w:p w:rsidR="00275A7A" w:rsidRPr="00275A7A" w:rsidRDefault="00275A7A" w:rsidP="00275A7A">
      <w:pPr>
        <w:spacing w:after="0" w:line="240" w:lineRule="auto"/>
        <w:ind w:left="567"/>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that the appellants' claim for specific performance is based on the breach of contract by the deceased and the trustees when they agreed to vary the original trust deed without the appellants' consent.</w:t>
      </w:r>
    </w:p>
    <w:p w:rsidR="00275A7A" w:rsidRPr="00275A7A" w:rsidRDefault="00275A7A" w:rsidP="00275A7A">
      <w:pPr>
        <w:spacing w:before="180" w:after="0" w:line="240" w:lineRule="auto"/>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[38</w:t>
      </w:r>
      <w:proofErr w:type="gramStart"/>
      <w:r w:rsidRPr="00275A7A">
        <w:rPr>
          <w:rFonts w:ascii="Verdana" w:eastAsia="Times New Roman" w:hAnsi="Verdana" w:cs="Times New Roman"/>
          <w:color w:val="000000"/>
          <w:sz w:val="18"/>
          <w:szCs w:val="18"/>
        </w:rPr>
        <w:t>]  Departing</w:t>
      </w:r>
      <w:proofErr w:type="gramEnd"/>
      <w:r w:rsidRPr="00275A7A">
        <w:rPr>
          <w:rFonts w:ascii="Verdana" w:eastAsia="Times New Roman" w:hAnsi="Verdana" w:cs="Times New Roman"/>
          <w:color w:val="000000"/>
          <w:sz w:val="18"/>
          <w:szCs w:val="18"/>
        </w:rPr>
        <w:t xml:space="preserve"> from these suppositions, the respondents referred to the trite principle that courts have a discretion to refuse an order for specific performance where, for instance, it would lead to undue hardship on the part of a defendant. In this instance, so the respondents' argument went, implementation of the original trust deed would indeed give rise to undue hardship on the part of </w:t>
      </w:r>
      <w:proofErr w:type="spellStart"/>
      <w:r w:rsidRPr="00275A7A">
        <w:rPr>
          <w:rFonts w:ascii="Verdana" w:eastAsia="Times New Roman" w:hAnsi="Verdana" w:cs="Times New Roman"/>
          <w:color w:val="000000"/>
          <w:sz w:val="18"/>
          <w:szCs w:val="18"/>
        </w:rPr>
        <w:t>Mrs</w:t>
      </w:r>
      <w:proofErr w:type="spellEnd"/>
      <w:r w:rsidRPr="00275A7A">
        <w:rPr>
          <w:rFonts w:ascii="Verdana" w:eastAsia="Times New Roman" w:hAnsi="Verdana" w:cs="Times New Roman"/>
          <w:color w:val="000000"/>
          <w:sz w:val="18"/>
          <w:szCs w:val="18"/>
        </w:rPr>
        <w:t xml:space="preserve"> Potgieter and her two children, since they would be deprived of any inheritance from the </w:t>
      </w:r>
    </w:p>
    <w:p w:rsidR="00275A7A" w:rsidRPr="00275A7A" w:rsidRDefault="00275A7A" w:rsidP="00275A7A">
      <w:pPr>
        <w:spacing w:before="360" w:after="0" w:line="240" w:lineRule="auto"/>
        <w:rPr>
          <w:rFonts w:ascii="Verdana" w:eastAsia="Times New Roman" w:hAnsi="Verdana" w:cs="Times New Roman"/>
          <w:b/>
          <w:bCs/>
          <w:color w:val="000000"/>
          <w:sz w:val="16"/>
          <w:szCs w:val="16"/>
        </w:rPr>
      </w:pPr>
      <w:r w:rsidRPr="00275A7A">
        <w:rPr>
          <w:rFonts w:ascii="Verdana" w:eastAsia="Times New Roman" w:hAnsi="Verdana" w:cs="Times New Roman"/>
          <w:b/>
          <w:bCs/>
          <w:color w:val="000000"/>
          <w:sz w:val="16"/>
          <w:szCs w:val="16"/>
        </w:rPr>
        <w:t>Page 23 of [2011] JOL 27892 (SCA)</w:t>
      </w:r>
    </w:p>
    <w:p w:rsidR="00275A7A" w:rsidRPr="00275A7A" w:rsidRDefault="00275A7A" w:rsidP="00275A7A">
      <w:pPr>
        <w:spacing w:before="180" w:after="0" w:line="240" w:lineRule="auto"/>
        <w:jc w:val="both"/>
        <w:rPr>
          <w:rFonts w:ascii="Verdana" w:eastAsia="Times New Roman" w:hAnsi="Verdana" w:cs="Times New Roman"/>
          <w:color w:val="000000"/>
          <w:sz w:val="18"/>
          <w:szCs w:val="18"/>
        </w:rPr>
      </w:pPr>
      <w:proofErr w:type="gramStart"/>
      <w:r w:rsidRPr="00275A7A">
        <w:rPr>
          <w:rFonts w:ascii="Verdana" w:eastAsia="Times New Roman" w:hAnsi="Verdana" w:cs="Times New Roman"/>
          <w:color w:val="000000"/>
          <w:sz w:val="18"/>
          <w:szCs w:val="18"/>
        </w:rPr>
        <w:t>deceased</w:t>
      </w:r>
      <w:proofErr w:type="gramEnd"/>
      <w:r w:rsidRPr="00275A7A">
        <w:rPr>
          <w:rFonts w:ascii="Verdana" w:eastAsia="Times New Roman" w:hAnsi="Verdana" w:cs="Times New Roman"/>
          <w:color w:val="000000"/>
          <w:sz w:val="18"/>
          <w:szCs w:val="18"/>
        </w:rPr>
        <w:t>. Consequently, so the respondents' argument concluded, the appellants should be satisfied with a claim for damages which would be represented by the value of the trust assets at the time of the variation agreement.</w:t>
      </w:r>
    </w:p>
    <w:p w:rsidR="00275A7A" w:rsidRPr="00275A7A" w:rsidRDefault="00275A7A" w:rsidP="00275A7A">
      <w:pPr>
        <w:spacing w:before="180" w:after="0" w:line="240" w:lineRule="auto"/>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[39</w:t>
      </w:r>
      <w:proofErr w:type="gramStart"/>
      <w:r w:rsidRPr="00275A7A">
        <w:rPr>
          <w:rFonts w:ascii="Verdana" w:eastAsia="Times New Roman" w:hAnsi="Verdana" w:cs="Times New Roman"/>
          <w:color w:val="000000"/>
          <w:sz w:val="18"/>
          <w:szCs w:val="18"/>
        </w:rPr>
        <w:t>]  I</w:t>
      </w:r>
      <w:proofErr w:type="gramEnd"/>
      <w:r w:rsidRPr="00275A7A">
        <w:rPr>
          <w:rFonts w:ascii="Verdana" w:eastAsia="Times New Roman" w:hAnsi="Verdana" w:cs="Times New Roman"/>
          <w:color w:val="000000"/>
          <w:sz w:val="18"/>
          <w:szCs w:val="18"/>
        </w:rPr>
        <w:t xml:space="preserve"> find this argument fundamentally flawed since both suppositions on which it is founded are unsustainable. The appellants' claim is not based on breach of contract. As a matter of law, the deceased and the trustees had no authority to amend the trust deed without the appellants' consent. Their attempt to do so can therefore not be </w:t>
      </w:r>
      <w:proofErr w:type="spellStart"/>
      <w:r w:rsidRPr="00275A7A">
        <w:rPr>
          <w:rFonts w:ascii="Verdana" w:eastAsia="Times New Roman" w:hAnsi="Verdana" w:cs="Times New Roman"/>
          <w:color w:val="000000"/>
          <w:sz w:val="18"/>
          <w:szCs w:val="18"/>
        </w:rPr>
        <w:t>categorised</w:t>
      </w:r>
      <w:proofErr w:type="spellEnd"/>
      <w:r w:rsidRPr="00275A7A">
        <w:rPr>
          <w:rFonts w:ascii="Verdana" w:eastAsia="Times New Roman" w:hAnsi="Verdana" w:cs="Times New Roman"/>
          <w:color w:val="000000"/>
          <w:sz w:val="18"/>
          <w:szCs w:val="18"/>
        </w:rPr>
        <w:t xml:space="preserve"> as breach of contract. As a matter of positive law, they had no power to do what they purported to do. Their agreement to do so was therefore without any force and effect. This means that the variation agreement was invalid. The proposition </w:t>
      </w:r>
      <w:r w:rsidRPr="00275A7A">
        <w:rPr>
          <w:rFonts w:ascii="Verdana" w:eastAsia="Times New Roman" w:hAnsi="Verdana" w:cs="Times New Roman"/>
          <w:color w:val="000000"/>
          <w:sz w:val="18"/>
          <w:szCs w:val="18"/>
        </w:rPr>
        <w:lastRenderedPageBreak/>
        <w:t xml:space="preserve">that what the appellants sought was an order for specific performance of a </w:t>
      </w:r>
      <w:proofErr w:type="gramStart"/>
      <w:r w:rsidRPr="00275A7A">
        <w:rPr>
          <w:rFonts w:ascii="Verdana" w:eastAsia="Times New Roman" w:hAnsi="Verdana" w:cs="Times New Roman"/>
          <w:color w:val="000000"/>
          <w:sz w:val="18"/>
          <w:szCs w:val="18"/>
        </w:rPr>
        <w:t>contract,</w:t>
      </w:r>
      <w:proofErr w:type="gramEnd"/>
      <w:r w:rsidRPr="00275A7A">
        <w:rPr>
          <w:rFonts w:ascii="Verdana" w:eastAsia="Times New Roman" w:hAnsi="Verdana" w:cs="Times New Roman"/>
          <w:color w:val="000000"/>
          <w:sz w:val="18"/>
          <w:szCs w:val="18"/>
        </w:rPr>
        <w:t xml:space="preserve"> is equally unfounded. What they sought was a </w:t>
      </w:r>
      <w:proofErr w:type="spellStart"/>
      <w:r w:rsidRPr="00275A7A">
        <w:rPr>
          <w:rFonts w:ascii="Verdana" w:eastAsia="Times New Roman" w:hAnsi="Verdana" w:cs="Times New Roman"/>
          <w:color w:val="000000"/>
          <w:sz w:val="18"/>
          <w:szCs w:val="18"/>
        </w:rPr>
        <w:t>declarator</w:t>
      </w:r>
      <w:proofErr w:type="spellEnd"/>
      <w:r w:rsidRPr="00275A7A">
        <w:rPr>
          <w:rFonts w:ascii="Verdana" w:eastAsia="Times New Roman" w:hAnsi="Verdana" w:cs="Times New Roman"/>
          <w:color w:val="000000"/>
          <w:sz w:val="18"/>
          <w:szCs w:val="18"/>
        </w:rPr>
        <w:t xml:space="preserve"> confirming the invalidity of the variation agreement. As I see it they were entitled to that order as a matter of law.</w:t>
      </w:r>
    </w:p>
    <w:p w:rsidR="00275A7A" w:rsidRPr="00275A7A" w:rsidRDefault="00275A7A" w:rsidP="00275A7A">
      <w:pPr>
        <w:spacing w:before="180" w:after="0" w:line="240" w:lineRule="auto"/>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[40</w:t>
      </w:r>
      <w:proofErr w:type="gramStart"/>
      <w:r w:rsidRPr="00275A7A">
        <w:rPr>
          <w:rFonts w:ascii="Verdana" w:eastAsia="Times New Roman" w:hAnsi="Verdana" w:cs="Times New Roman"/>
          <w:color w:val="000000"/>
          <w:sz w:val="18"/>
          <w:szCs w:val="18"/>
        </w:rPr>
        <w:t>]  In</w:t>
      </w:r>
      <w:proofErr w:type="gramEnd"/>
      <w:r w:rsidRPr="00275A7A">
        <w:rPr>
          <w:rFonts w:ascii="Verdana" w:eastAsia="Times New Roman" w:hAnsi="Verdana" w:cs="Times New Roman"/>
          <w:color w:val="000000"/>
          <w:sz w:val="18"/>
          <w:szCs w:val="18"/>
        </w:rPr>
        <w:t xml:space="preserve"> argument before us the appellants invited us to grant a further </w:t>
      </w:r>
      <w:proofErr w:type="spellStart"/>
      <w:r w:rsidRPr="00275A7A">
        <w:rPr>
          <w:rFonts w:ascii="Verdana" w:eastAsia="Times New Roman" w:hAnsi="Verdana" w:cs="Times New Roman"/>
          <w:color w:val="000000"/>
          <w:sz w:val="18"/>
          <w:szCs w:val="18"/>
        </w:rPr>
        <w:t>declarator</w:t>
      </w:r>
      <w:proofErr w:type="spellEnd"/>
      <w:r w:rsidRPr="00275A7A">
        <w:rPr>
          <w:rFonts w:ascii="Verdana" w:eastAsia="Times New Roman" w:hAnsi="Verdana" w:cs="Times New Roman"/>
          <w:color w:val="000000"/>
          <w:sz w:val="18"/>
          <w:szCs w:val="18"/>
        </w:rPr>
        <w:t xml:space="preserve"> confirming that, upon the death of the deceased, the assets of the trust became vested in the two appellants. I believe we must decline that invitation. In their notice of motion the only </w:t>
      </w:r>
      <w:proofErr w:type="spellStart"/>
      <w:r w:rsidRPr="00275A7A">
        <w:rPr>
          <w:rFonts w:ascii="Verdana" w:eastAsia="Times New Roman" w:hAnsi="Verdana" w:cs="Times New Roman"/>
          <w:color w:val="000000"/>
          <w:sz w:val="18"/>
          <w:szCs w:val="18"/>
        </w:rPr>
        <w:t>declarator</w:t>
      </w:r>
      <w:proofErr w:type="spellEnd"/>
      <w:r w:rsidRPr="00275A7A">
        <w:rPr>
          <w:rFonts w:ascii="Verdana" w:eastAsia="Times New Roman" w:hAnsi="Verdana" w:cs="Times New Roman"/>
          <w:color w:val="000000"/>
          <w:sz w:val="18"/>
          <w:szCs w:val="18"/>
        </w:rPr>
        <w:t xml:space="preserve"> sought by the appellants was for an order confirming the invalidity of the variation agreement. On the papers the searchlight therefore </w:t>
      </w:r>
      <w:proofErr w:type="spellStart"/>
      <w:r w:rsidRPr="00275A7A">
        <w:rPr>
          <w:rFonts w:ascii="Verdana" w:eastAsia="Times New Roman" w:hAnsi="Verdana" w:cs="Times New Roman"/>
          <w:color w:val="000000"/>
          <w:sz w:val="18"/>
          <w:szCs w:val="18"/>
        </w:rPr>
        <w:t>focussed</w:t>
      </w:r>
      <w:proofErr w:type="spellEnd"/>
      <w:r w:rsidRPr="00275A7A">
        <w:rPr>
          <w:rFonts w:ascii="Verdana" w:eastAsia="Times New Roman" w:hAnsi="Verdana" w:cs="Times New Roman"/>
          <w:color w:val="000000"/>
          <w:sz w:val="18"/>
          <w:szCs w:val="18"/>
        </w:rPr>
        <w:t xml:space="preserve"> exclusively on the validity of the variation agreement, leaving surrounding issues in obscurity. A shift in the focus of the searchlight may well result in a dramatic change of scenery. The respondents, on the other hand, made various assumptions, for instance, about the impact of the deceased's will on the trust and the effect of the invalidity of the variation agreement on the assets of the trust. For the same reason I make no pronouncement on the correctness of these assumptions. Again these issues were not properly ventilated on the papers or in argument before us.</w:t>
      </w:r>
    </w:p>
    <w:p w:rsidR="00275A7A" w:rsidRPr="00275A7A" w:rsidRDefault="00275A7A" w:rsidP="00275A7A">
      <w:pPr>
        <w:spacing w:before="360" w:after="0" w:line="240" w:lineRule="auto"/>
        <w:rPr>
          <w:rFonts w:ascii="Verdana" w:eastAsia="Times New Roman" w:hAnsi="Verdana" w:cs="Times New Roman"/>
          <w:b/>
          <w:bCs/>
          <w:color w:val="000000"/>
          <w:sz w:val="16"/>
          <w:szCs w:val="16"/>
        </w:rPr>
      </w:pPr>
      <w:r w:rsidRPr="00275A7A">
        <w:rPr>
          <w:rFonts w:ascii="Verdana" w:eastAsia="Times New Roman" w:hAnsi="Verdana" w:cs="Times New Roman"/>
          <w:b/>
          <w:bCs/>
          <w:color w:val="000000"/>
          <w:sz w:val="16"/>
          <w:szCs w:val="16"/>
        </w:rPr>
        <w:t>Page 24 of [2011] JOL 27892 (SCA)</w:t>
      </w:r>
    </w:p>
    <w:p w:rsidR="00275A7A" w:rsidRPr="00275A7A" w:rsidRDefault="00275A7A" w:rsidP="00275A7A">
      <w:pPr>
        <w:spacing w:before="180" w:after="0" w:line="240" w:lineRule="auto"/>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[41</w:t>
      </w:r>
      <w:proofErr w:type="gramStart"/>
      <w:r w:rsidRPr="00275A7A">
        <w:rPr>
          <w:rFonts w:ascii="Verdana" w:eastAsia="Times New Roman" w:hAnsi="Verdana" w:cs="Times New Roman"/>
          <w:color w:val="000000"/>
          <w:sz w:val="18"/>
          <w:szCs w:val="18"/>
        </w:rPr>
        <w:t>]  What</w:t>
      </w:r>
      <w:proofErr w:type="gramEnd"/>
      <w:r w:rsidRPr="00275A7A">
        <w:rPr>
          <w:rFonts w:ascii="Verdana" w:eastAsia="Times New Roman" w:hAnsi="Verdana" w:cs="Times New Roman"/>
          <w:color w:val="000000"/>
          <w:sz w:val="18"/>
          <w:szCs w:val="18"/>
        </w:rPr>
        <w:t xml:space="preserve"> remains are matters of costs. The court </w:t>
      </w:r>
      <w:r w:rsidRPr="00275A7A">
        <w:rPr>
          <w:rFonts w:ascii="Verdana" w:eastAsia="Times New Roman" w:hAnsi="Verdana" w:cs="Times New Roman"/>
          <w:i/>
          <w:iCs/>
          <w:color w:val="000000"/>
          <w:sz w:val="18"/>
          <w:szCs w:val="18"/>
        </w:rPr>
        <w:t xml:space="preserve">a quo </w:t>
      </w:r>
      <w:r w:rsidRPr="00275A7A">
        <w:rPr>
          <w:rFonts w:ascii="Verdana" w:eastAsia="Times New Roman" w:hAnsi="Verdana" w:cs="Times New Roman"/>
          <w:color w:val="000000"/>
          <w:sz w:val="18"/>
          <w:szCs w:val="18"/>
        </w:rPr>
        <w:t xml:space="preserve">held that the costs of both factions should be paid by the trust on an attorney and client scale. I agree with the considerations underlying that order. In my view they also hold true on appeal. The appellants, on the one hand, were substantially successful in both their application and on appeal. As to the respondents, on the other hand, it cannot be said in my view that the opposition by the first and second respondents in their representative capacities as trustees was either </w:t>
      </w:r>
      <w:r w:rsidRPr="00275A7A">
        <w:rPr>
          <w:rFonts w:ascii="Verdana" w:eastAsia="Times New Roman" w:hAnsi="Verdana" w:cs="Times New Roman"/>
          <w:i/>
          <w:iCs/>
          <w:color w:val="000000"/>
          <w:sz w:val="18"/>
          <w:szCs w:val="18"/>
        </w:rPr>
        <w:t xml:space="preserve">mala fide </w:t>
      </w:r>
      <w:r w:rsidRPr="00275A7A">
        <w:rPr>
          <w:rFonts w:ascii="Verdana" w:eastAsia="Times New Roman" w:hAnsi="Verdana" w:cs="Times New Roman"/>
          <w:color w:val="000000"/>
          <w:sz w:val="18"/>
          <w:szCs w:val="18"/>
        </w:rPr>
        <w:t xml:space="preserve">or unreasonable. It follows that an award of costs </w:t>
      </w:r>
      <w:r w:rsidRPr="00275A7A">
        <w:rPr>
          <w:rFonts w:ascii="Verdana" w:eastAsia="Times New Roman" w:hAnsi="Verdana" w:cs="Times New Roman"/>
          <w:i/>
          <w:iCs/>
          <w:color w:val="000000"/>
          <w:sz w:val="18"/>
          <w:szCs w:val="18"/>
        </w:rPr>
        <w:t xml:space="preserve">de </w:t>
      </w:r>
      <w:proofErr w:type="spellStart"/>
      <w:r w:rsidRPr="00275A7A">
        <w:rPr>
          <w:rFonts w:ascii="Verdana" w:eastAsia="Times New Roman" w:hAnsi="Verdana" w:cs="Times New Roman"/>
          <w:i/>
          <w:iCs/>
          <w:color w:val="000000"/>
          <w:sz w:val="18"/>
          <w:szCs w:val="18"/>
        </w:rPr>
        <w:t>bonis</w:t>
      </w:r>
      <w:proofErr w:type="spellEnd"/>
      <w:r w:rsidRPr="00275A7A">
        <w:rPr>
          <w:rFonts w:ascii="Verdana" w:eastAsia="Times New Roman" w:hAnsi="Verdana" w:cs="Times New Roman"/>
          <w:i/>
          <w:iCs/>
          <w:color w:val="000000"/>
          <w:sz w:val="18"/>
          <w:szCs w:val="18"/>
        </w:rPr>
        <w:t xml:space="preserve"> </w:t>
      </w:r>
      <w:proofErr w:type="spellStart"/>
      <w:r w:rsidRPr="00275A7A">
        <w:rPr>
          <w:rFonts w:ascii="Verdana" w:eastAsia="Times New Roman" w:hAnsi="Verdana" w:cs="Times New Roman"/>
          <w:i/>
          <w:iCs/>
          <w:color w:val="000000"/>
          <w:sz w:val="18"/>
          <w:szCs w:val="18"/>
        </w:rPr>
        <w:t>propriis</w:t>
      </w:r>
      <w:proofErr w:type="spellEnd"/>
      <w:r w:rsidRPr="00275A7A">
        <w:rPr>
          <w:rFonts w:ascii="Verdana" w:eastAsia="Times New Roman" w:hAnsi="Verdana" w:cs="Times New Roman"/>
          <w:i/>
          <w:iCs/>
          <w:color w:val="000000"/>
          <w:sz w:val="18"/>
          <w:szCs w:val="18"/>
        </w:rPr>
        <w:t xml:space="preserve"> </w:t>
      </w:r>
      <w:r w:rsidRPr="00275A7A">
        <w:rPr>
          <w:rFonts w:ascii="Verdana" w:eastAsia="Times New Roman" w:hAnsi="Verdana" w:cs="Times New Roman"/>
          <w:color w:val="000000"/>
          <w:sz w:val="18"/>
          <w:szCs w:val="18"/>
        </w:rPr>
        <w:t xml:space="preserve">against them would not be justified. With regard to the opposition by the respondents in their personal capacities, the appellants' counsel conceded, fairly in my </w:t>
      </w:r>
      <w:proofErr w:type="gramStart"/>
      <w:r w:rsidRPr="00275A7A">
        <w:rPr>
          <w:rFonts w:ascii="Verdana" w:eastAsia="Times New Roman" w:hAnsi="Verdana" w:cs="Times New Roman"/>
          <w:color w:val="000000"/>
          <w:sz w:val="18"/>
          <w:szCs w:val="18"/>
        </w:rPr>
        <w:t>view, that</w:t>
      </w:r>
      <w:proofErr w:type="gramEnd"/>
      <w:r w:rsidRPr="00275A7A">
        <w:rPr>
          <w:rFonts w:ascii="Verdana" w:eastAsia="Times New Roman" w:hAnsi="Verdana" w:cs="Times New Roman"/>
          <w:color w:val="000000"/>
          <w:sz w:val="18"/>
          <w:szCs w:val="18"/>
        </w:rPr>
        <w:t xml:space="preserve"> this did not result in any additional costs. In the result, I believe that all costs in the court </w:t>
      </w:r>
      <w:r w:rsidRPr="00275A7A">
        <w:rPr>
          <w:rFonts w:ascii="Verdana" w:eastAsia="Times New Roman" w:hAnsi="Verdana" w:cs="Times New Roman"/>
          <w:i/>
          <w:iCs/>
          <w:color w:val="000000"/>
          <w:sz w:val="18"/>
          <w:szCs w:val="18"/>
        </w:rPr>
        <w:t xml:space="preserve">a quo </w:t>
      </w:r>
      <w:r w:rsidRPr="00275A7A">
        <w:rPr>
          <w:rFonts w:ascii="Verdana" w:eastAsia="Times New Roman" w:hAnsi="Verdana" w:cs="Times New Roman"/>
          <w:color w:val="000000"/>
          <w:sz w:val="18"/>
          <w:szCs w:val="18"/>
        </w:rPr>
        <w:t xml:space="preserve">and on appeal should, save for one exception, be borne by the trust. The exception relates to the position of </w:t>
      </w:r>
      <w:proofErr w:type="spellStart"/>
      <w:r w:rsidRPr="00275A7A">
        <w:rPr>
          <w:rFonts w:ascii="Verdana" w:eastAsia="Times New Roman" w:hAnsi="Verdana" w:cs="Times New Roman"/>
          <w:color w:val="000000"/>
          <w:sz w:val="18"/>
          <w:szCs w:val="18"/>
        </w:rPr>
        <w:t>Wessels</w:t>
      </w:r>
      <w:proofErr w:type="spellEnd"/>
      <w:r w:rsidRPr="00275A7A">
        <w:rPr>
          <w:rFonts w:ascii="Verdana" w:eastAsia="Times New Roman" w:hAnsi="Verdana" w:cs="Times New Roman"/>
          <w:color w:val="000000"/>
          <w:sz w:val="18"/>
          <w:szCs w:val="18"/>
        </w:rPr>
        <w:t xml:space="preserve">. His conduct during the proceedings was subjected to severe criticism by the court </w:t>
      </w:r>
      <w:r w:rsidRPr="00275A7A">
        <w:rPr>
          <w:rFonts w:ascii="Verdana" w:eastAsia="Times New Roman" w:hAnsi="Verdana" w:cs="Times New Roman"/>
          <w:i/>
          <w:iCs/>
          <w:color w:val="000000"/>
          <w:sz w:val="18"/>
          <w:szCs w:val="18"/>
        </w:rPr>
        <w:t>a quo</w:t>
      </w:r>
      <w:r w:rsidRPr="00275A7A">
        <w:rPr>
          <w:rFonts w:ascii="Verdana" w:eastAsia="Times New Roman" w:hAnsi="Verdana" w:cs="Times New Roman"/>
          <w:color w:val="000000"/>
          <w:sz w:val="18"/>
          <w:szCs w:val="18"/>
        </w:rPr>
        <w:t xml:space="preserve">. Suffice it to say, in my </w:t>
      </w:r>
      <w:proofErr w:type="gramStart"/>
      <w:r w:rsidRPr="00275A7A">
        <w:rPr>
          <w:rFonts w:ascii="Verdana" w:eastAsia="Times New Roman" w:hAnsi="Verdana" w:cs="Times New Roman"/>
          <w:color w:val="000000"/>
          <w:sz w:val="18"/>
          <w:szCs w:val="18"/>
        </w:rPr>
        <w:t>view, that</w:t>
      </w:r>
      <w:proofErr w:type="gramEnd"/>
      <w:r w:rsidRPr="00275A7A">
        <w:rPr>
          <w:rFonts w:ascii="Verdana" w:eastAsia="Times New Roman" w:hAnsi="Verdana" w:cs="Times New Roman"/>
          <w:color w:val="000000"/>
          <w:sz w:val="18"/>
          <w:szCs w:val="18"/>
        </w:rPr>
        <w:t xml:space="preserve"> I agree with this criticism. I am also of the view that his conduct did him no credit, particularly as an officer of the court. As a token of our displeasure I therefore propose to order that the costs he might have incurred as seventh respondent, </w:t>
      </w:r>
      <w:proofErr w:type="spellStart"/>
      <w:r w:rsidRPr="00275A7A">
        <w:rPr>
          <w:rFonts w:ascii="Verdana" w:eastAsia="Times New Roman" w:hAnsi="Verdana" w:cs="Times New Roman"/>
          <w:color w:val="000000"/>
          <w:sz w:val="18"/>
          <w:szCs w:val="18"/>
        </w:rPr>
        <w:t>ie</w:t>
      </w:r>
      <w:proofErr w:type="spellEnd"/>
      <w:r w:rsidRPr="00275A7A">
        <w:rPr>
          <w:rFonts w:ascii="Verdana" w:eastAsia="Times New Roman" w:hAnsi="Verdana" w:cs="Times New Roman"/>
          <w:color w:val="000000"/>
          <w:sz w:val="18"/>
          <w:szCs w:val="18"/>
        </w:rPr>
        <w:t xml:space="preserve"> in his personal capacity, will not be recoverable from the trust.</w:t>
      </w:r>
    </w:p>
    <w:p w:rsidR="00275A7A" w:rsidRPr="00275A7A" w:rsidRDefault="00275A7A" w:rsidP="00275A7A">
      <w:pPr>
        <w:spacing w:before="180" w:after="0" w:line="240" w:lineRule="auto"/>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[42</w:t>
      </w:r>
      <w:proofErr w:type="gramStart"/>
      <w:r w:rsidRPr="00275A7A">
        <w:rPr>
          <w:rFonts w:ascii="Verdana" w:eastAsia="Times New Roman" w:hAnsi="Verdana" w:cs="Times New Roman"/>
          <w:color w:val="000000"/>
          <w:sz w:val="18"/>
          <w:szCs w:val="18"/>
        </w:rPr>
        <w:t>]  In</w:t>
      </w:r>
      <w:proofErr w:type="gramEnd"/>
      <w:r w:rsidRPr="00275A7A">
        <w:rPr>
          <w:rFonts w:ascii="Verdana" w:eastAsia="Times New Roman" w:hAnsi="Verdana" w:cs="Times New Roman"/>
          <w:color w:val="000000"/>
          <w:sz w:val="18"/>
          <w:szCs w:val="18"/>
        </w:rPr>
        <w:t xml:space="preserve"> the result it is ordered:</w:t>
      </w:r>
    </w:p>
    <w:p w:rsidR="00275A7A" w:rsidRPr="00275A7A" w:rsidRDefault="00275A7A" w:rsidP="00275A7A">
      <w:pPr>
        <w:spacing w:before="180" w:after="0" w:line="240" w:lineRule="auto"/>
        <w:ind w:left="567" w:hanging="567"/>
        <w:jc w:val="both"/>
        <w:rPr>
          <w:rFonts w:ascii="Verdana" w:eastAsia="Times New Roman" w:hAnsi="Verdana" w:cs="Times New Roman"/>
          <w:color w:val="000000"/>
          <w:sz w:val="18"/>
          <w:szCs w:val="18"/>
        </w:rPr>
      </w:pPr>
      <w:proofErr w:type="gramStart"/>
      <w:r w:rsidRPr="00275A7A">
        <w:rPr>
          <w:rFonts w:ascii="Verdana" w:eastAsia="Times New Roman" w:hAnsi="Verdana" w:cs="Times New Roman"/>
          <w:color w:val="000000"/>
          <w:sz w:val="18"/>
          <w:szCs w:val="18"/>
        </w:rPr>
        <w:t>a</w:t>
      </w:r>
      <w:proofErr w:type="gramEnd"/>
      <w:r w:rsidRPr="00275A7A">
        <w:rPr>
          <w:rFonts w:ascii="Verdana" w:eastAsia="Times New Roman" w:hAnsi="Verdana" w:cs="Times New Roman"/>
          <w:color w:val="000000"/>
          <w:sz w:val="18"/>
          <w:szCs w:val="18"/>
        </w:rPr>
        <w:t>.</w:t>
      </w:r>
    </w:p>
    <w:p w:rsidR="00275A7A" w:rsidRPr="00275A7A" w:rsidRDefault="00275A7A" w:rsidP="00275A7A">
      <w:pPr>
        <w:spacing w:after="0" w:line="240" w:lineRule="auto"/>
        <w:ind w:left="567"/>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The appeal is upheld.</w:t>
      </w:r>
    </w:p>
    <w:p w:rsidR="00275A7A" w:rsidRPr="00275A7A" w:rsidRDefault="00275A7A" w:rsidP="00275A7A">
      <w:pPr>
        <w:spacing w:before="180" w:after="0" w:line="240" w:lineRule="auto"/>
        <w:ind w:left="567" w:hanging="567"/>
        <w:jc w:val="both"/>
        <w:rPr>
          <w:rFonts w:ascii="Verdana" w:eastAsia="Times New Roman" w:hAnsi="Verdana" w:cs="Times New Roman"/>
          <w:color w:val="000000"/>
          <w:sz w:val="18"/>
          <w:szCs w:val="18"/>
        </w:rPr>
      </w:pPr>
      <w:proofErr w:type="gramStart"/>
      <w:r w:rsidRPr="00275A7A">
        <w:rPr>
          <w:rFonts w:ascii="Verdana" w:eastAsia="Times New Roman" w:hAnsi="Verdana" w:cs="Times New Roman"/>
          <w:color w:val="000000"/>
          <w:sz w:val="18"/>
          <w:szCs w:val="18"/>
        </w:rPr>
        <w:t>b</w:t>
      </w:r>
      <w:proofErr w:type="gramEnd"/>
      <w:r w:rsidRPr="00275A7A">
        <w:rPr>
          <w:rFonts w:ascii="Verdana" w:eastAsia="Times New Roman" w:hAnsi="Verdana" w:cs="Times New Roman"/>
          <w:color w:val="000000"/>
          <w:sz w:val="18"/>
          <w:szCs w:val="18"/>
        </w:rPr>
        <w:t>.</w:t>
      </w:r>
    </w:p>
    <w:p w:rsidR="00275A7A" w:rsidRPr="00275A7A" w:rsidRDefault="00275A7A" w:rsidP="00275A7A">
      <w:pPr>
        <w:spacing w:after="0" w:line="240" w:lineRule="auto"/>
        <w:ind w:left="567"/>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The cross-appeal is dismissed.</w:t>
      </w:r>
    </w:p>
    <w:p w:rsidR="00275A7A" w:rsidRPr="00275A7A" w:rsidRDefault="00275A7A" w:rsidP="00275A7A">
      <w:pPr>
        <w:spacing w:before="180" w:after="0" w:line="240" w:lineRule="auto"/>
        <w:ind w:left="567" w:hanging="567"/>
        <w:jc w:val="both"/>
        <w:rPr>
          <w:rFonts w:ascii="Verdana" w:eastAsia="Times New Roman" w:hAnsi="Verdana" w:cs="Times New Roman"/>
          <w:color w:val="000000"/>
          <w:sz w:val="18"/>
          <w:szCs w:val="18"/>
        </w:rPr>
      </w:pPr>
      <w:proofErr w:type="gramStart"/>
      <w:r w:rsidRPr="00275A7A">
        <w:rPr>
          <w:rFonts w:ascii="Verdana" w:eastAsia="Times New Roman" w:hAnsi="Verdana" w:cs="Times New Roman"/>
          <w:color w:val="000000"/>
          <w:sz w:val="18"/>
          <w:szCs w:val="18"/>
        </w:rPr>
        <w:t>c</w:t>
      </w:r>
      <w:proofErr w:type="gramEnd"/>
      <w:r w:rsidRPr="00275A7A">
        <w:rPr>
          <w:rFonts w:ascii="Verdana" w:eastAsia="Times New Roman" w:hAnsi="Verdana" w:cs="Times New Roman"/>
          <w:color w:val="000000"/>
          <w:sz w:val="18"/>
          <w:szCs w:val="18"/>
        </w:rPr>
        <w:t>.</w:t>
      </w:r>
    </w:p>
    <w:p w:rsidR="00275A7A" w:rsidRPr="00275A7A" w:rsidRDefault="00275A7A" w:rsidP="00275A7A">
      <w:pPr>
        <w:spacing w:after="0" w:line="240" w:lineRule="auto"/>
        <w:ind w:left="567"/>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 xml:space="preserve">The costs incurred by the appellants and the respondents in both the appeal and the cross-appeal, including the costs of two counsel, where applicable, shall, save for the costs of the seventh respondent, be paid by the </w:t>
      </w:r>
      <w:proofErr w:type="spellStart"/>
      <w:r w:rsidRPr="00275A7A">
        <w:rPr>
          <w:rFonts w:ascii="Verdana" w:eastAsia="Times New Roman" w:hAnsi="Verdana" w:cs="Times New Roman"/>
          <w:color w:val="000000"/>
          <w:sz w:val="18"/>
          <w:szCs w:val="18"/>
        </w:rPr>
        <w:t>Buffelshoek</w:t>
      </w:r>
      <w:proofErr w:type="spellEnd"/>
      <w:r w:rsidRPr="00275A7A">
        <w:rPr>
          <w:rFonts w:ascii="Verdana" w:eastAsia="Times New Roman" w:hAnsi="Verdana" w:cs="Times New Roman"/>
          <w:color w:val="000000"/>
          <w:sz w:val="18"/>
          <w:szCs w:val="18"/>
        </w:rPr>
        <w:t xml:space="preserve"> </w:t>
      </w:r>
      <w:proofErr w:type="spellStart"/>
      <w:r w:rsidRPr="00275A7A">
        <w:rPr>
          <w:rFonts w:ascii="Verdana" w:eastAsia="Times New Roman" w:hAnsi="Verdana" w:cs="Times New Roman"/>
          <w:color w:val="000000"/>
          <w:sz w:val="18"/>
          <w:szCs w:val="18"/>
        </w:rPr>
        <w:t>Familie</w:t>
      </w:r>
      <w:proofErr w:type="spellEnd"/>
      <w:r w:rsidRPr="00275A7A">
        <w:rPr>
          <w:rFonts w:ascii="Verdana" w:eastAsia="Times New Roman" w:hAnsi="Verdana" w:cs="Times New Roman"/>
          <w:color w:val="000000"/>
          <w:sz w:val="18"/>
          <w:szCs w:val="18"/>
        </w:rPr>
        <w:t xml:space="preserve"> Trust on an attorney and client scale.</w:t>
      </w:r>
    </w:p>
    <w:p w:rsidR="00275A7A" w:rsidRPr="00275A7A" w:rsidRDefault="00275A7A" w:rsidP="00275A7A">
      <w:pPr>
        <w:spacing w:before="180" w:after="0" w:line="240" w:lineRule="auto"/>
        <w:ind w:left="567" w:hanging="567"/>
        <w:jc w:val="both"/>
        <w:rPr>
          <w:rFonts w:ascii="Verdana" w:eastAsia="Times New Roman" w:hAnsi="Verdana" w:cs="Times New Roman"/>
          <w:color w:val="000000"/>
          <w:sz w:val="18"/>
          <w:szCs w:val="18"/>
        </w:rPr>
      </w:pPr>
      <w:proofErr w:type="gramStart"/>
      <w:r w:rsidRPr="00275A7A">
        <w:rPr>
          <w:rFonts w:ascii="Verdana" w:eastAsia="Times New Roman" w:hAnsi="Verdana" w:cs="Times New Roman"/>
          <w:color w:val="000000"/>
          <w:sz w:val="18"/>
          <w:szCs w:val="18"/>
        </w:rPr>
        <w:t>d</w:t>
      </w:r>
      <w:proofErr w:type="gramEnd"/>
      <w:r w:rsidRPr="00275A7A">
        <w:rPr>
          <w:rFonts w:ascii="Verdana" w:eastAsia="Times New Roman" w:hAnsi="Verdana" w:cs="Times New Roman"/>
          <w:color w:val="000000"/>
          <w:sz w:val="18"/>
          <w:szCs w:val="18"/>
        </w:rPr>
        <w:t>.</w:t>
      </w:r>
    </w:p>
    <w:p w:rsidR="00275A7A" w:rsidRPr="00275A7A" w:rsidRDefault="00275A7A" w:rsidP="00275A7A">
      <w:pPr>
        <w:spacing w:after="0" w:line="240" w:lineRule="auto"/>
        <w:ind w:left="567"/>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 xml:space="preserve">The order of the court </w:t>
      </w:r>
      <w:r w:rsidRPr="00275A7A">
        <w:rPr>
          <w:rFonts w:ascii="Verdana" w:eastAsia="Times New Roman" w:hAnsi="Verdana" w:cs="Times New Roman"/>
          <w:i/>
          <w:iCs/>
          <w:color w:val="000000"/>
          <w:sz w:val="18"/>
          <w:szCs w:val="18"/>
        </w:rPr>
        <w:t xml:space="preserve">a quo </w:t>
      </w:r>
      <w:r w:rsidRPr="00275A7A">
        <w:rPr>
          <w:rFonts w:ascii="Verdana" w:eastAsia="Times New Roman" w:hAnsi="Verdana" w:cs="Times New Roman"/>
          <w:color w:val="000000"/>
          <w:sz w:val="18"/>
          <w:szCs w:val="18"/>
        </w:rPr>
        <w:t>is set aside and replaced by the following:</w:t>
      </w:r>
    </w:p>
    <w:p w:rsidR="00275A7A" w:rsidRPr="00275A7A" w:rsidRDefault="00275A7A" w:rsidP="00275A7A">
      <w:pPr>
        <w:spacing w:before="360" w:after="0" w:line="240" w:lineRule="auto"/>
        <w:rPr>
          <w:rFonts w:ascii="Verdana" w:eastAsia="Times New Roman" w:hAnsi="Verdana" w:cs="Times New Roman"/>
          <w:b/>
          <w:bCs/>
          <w:color w:val="000000"/>
          <w:sz w:val="16"/>
          <w:szCs w:val="16"/>
        </w:rPr>
      </w:pPr>
      <w:r w:rsidRPr="00275A7A">
        <w:rPr>
          <w:rFonts w:ascii="Verdana" w:eastAsia="Times New Roman" w:hAnsi="Verdana" w:cs="Times New Roman"/>
          <w:b/>
          <w:bCs/>
          <w:color w:val="000000"/>
          <w:sz w:val="16"/>
          <w:szCs w:val="16"/>
        </w:rPr>
        <w:t>Page 25 of [2011] JOL 27892 (SCA)</w:t>
      </w:r>
    </w:p>
    <w:p w:rsidR="00275A7A" w:rsidRPr="00275A7A" w:rsidRDefault="00275A7A" w:rsidP="00275A7A">
      <w:pPr>
        <w:spacing w:before="180" w:after="0" w:line="240" w:lineRule="auto"/>
        <w:ind w:left="1134" w:right="567" w:hanging="567"/>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"1.</w:t>
      </w:r>
    </w:p>
    <w:p w:rsidR="00275A7A" w:rsidRPr="00275A7A" w:rsidRDefault="00275A7A" w:rsidP="00275A7A">
      <w:pPr>
        <w:spacing w:after="0" w:line="240" w:lineRule="auto"/>
        <w:ind w:left="1134" w:right="567"/>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 xml:space="preserve">The purported variation of the trust deed of the </w:t>
      </w:r>
      <w:proofErr w:type="spellStart"/>
      <w:r w:rsidRPr="00275A7A">
        <w:rPr>
          <w:rFonts w:ascii="Verdana" w:eastAsia="Times New Roman" w:hAnsi="Verdana" w:cs="Times New Roman"/>
          <w:color w:val="000000"/>
          <w:sz w:val="18"/>
          <w:szCs w:val="18"/>
        </w:rPr>
        <w:t>Buffelshoek</w:t>
      </w:r>
      <w:proofErr w:type="spellEnd"/>
      <w:r w:rsidRPr="00275A7A">
        <w:rPr>
          <w:rFonts w:ascii="Verdana" w:eastAsia="Times New Roman" w:hAnsi="Verdana" w:cs="Times New Roman"/>
          <w:color w:val="000000"/>
          <w:sz w:val="18"/>
          <w:szCs w:val="18"/>
        </w:rPr>
        <w:t xml:space="preserve"> </w:t>
      </w:r>
      <w:proofErr w:type="spellStart"/>
      <w:r w:rsidRPr="00275A7A">
        <w:rPr>
          <w:rFonts w:ascii="Verdana" w:eastAsia="Times New Roman" w:hAnsi="Verdana" w:cs="Times New Roman"/>
          <w:color w:val="000000"/>
          <w:sz w:val="18"/>
          <w:szCs w:val="18"/>
        </w:rPr>
        <w:t>Familie</w:t>
      </w:r>
      <w:proofErr w:type="spellEnd"/>
      <w:r w:rsidRPr="00275A7A">
        <w:rPr>
          <w:rFonts w:ascii="Verdana" w:eastAsia="Times New Roman" w:hAnsi="Verdana" w:cs="Times New Roman"/>
          <w:color w:val="000000"/>
          <w:sz w:val="18"/>
          <w:szCs w:val="18"/>
        </w:rPr>
        <w:t xml:space="preserve"> Trust on 21 February 2006 is declared to be invalid and set aside.</w:t>
      </w:r>
    </w:p>
    <w:p w:rsidR="00275A7A" w:rsidRPr="00275A7A" w:rsidRDefault="00275A7A" w:rsidP="00275A7A">
      <w:pPr>
        <w:spacing w:before="180" w:after="0" w:line="240" w:lineRule="auto"/>
        <w:ind w:left="1134" w:right="567" w:hanging="567"/>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2.</w:t>
      </w:r>
    </w:p>
    <w:p w:rsidR="00275A7A" w:rsidRPr="00275A7A" w:rsidRDefault="00275A7A" w:rsidP="00275A7A">
      <w:pPr>
        <w:spacing w:after="0" w:line="240" w:lineRule="auto"/>
        <w:ind w:left="1134" w:right="567"/>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t xml:space="preserve">The costs incurred by the applicants and the respondents, including the costs of two counsel, where applicable, shall, save for the costs of the seventh respondent, be paid by the </w:t>
      </w:r>
      <w:proofErr w:type="spellStart"/>
      <w:r w:rsidRPr="00275A7A">
        <w:rPr>
          <w:rFonts w:ascii="Verdana" w:eastAsia="Times New Roman" w:hAnsi="Verdana" w:cs="Times New Roman"/>
          <w:color w:val="000000"/>
          <w:sz w:val="18"/>
          <w:szCs w:val="18"/>
        </w:rPr>
        <w:t>Buffelshoek</w:t>
      </w:r>
      <w:proofErr w:type="spellEnd"/>
      <w:r w:rsidRPr="00275A7A">
        <w:rPr>
          <w:rFonts w:ascii="Verdana" w:eastAsia="Times New Roman" w:hAnsi="Verdana" w:cs="Times New Roman"/>
          <w:color w:val="000000"/>
          <w:sz w:val="18"/>
          <w:szCs w:val="18"/>
        </w:rPr>
        <w:t xml:space="preserve"> </w:t>
      </w:r>
      <w:proofErr w:type="spellStart"/>
      <w:r w:rsidRPr="00275A7A">
        <w:rPr>
          <w:rFonts w:ascii="Verdana" w:eastAsia="Times New Roman" w:hAnsi="Verdana" w:cs="Times New Roman"/>
          <w:color w:val="000000"/>
          <w:sz w:val="18"/>
          <w:szCs w:val="18"/>
        </w:rPr>
        <w:t>Familie</w:t>
      </w:r>
      <w:proofErr w:type="spellEnd"/>
      <w:r w:rsidRPr="00275A7A">
        <w:rPr>
          <w:rFonts w:ascii="Verdana" w:eastAsia="Times New Roman" w:hAnsi="Verdana" w:cs="Times New Roman"/>
          <w:color w:val="000000"/>
          <w:sz w:val="18"/>
          <w:szCs w:val="18"/>
        </w:rPr>
        <w:t xml:space="preserve"> Trust on an attorney and client scale."</w:t>
      </w:r>
    </w:p>
    <w:p w:rsidR="00275A7A" w:rsidRPr="00275A7A" w:rsidRDefault="00275A7A" w:rsidP="00275A7A">
      <w:pPr>
        <w:spacing w:before="180" w:after="0" w:line="240" w:lineRule="auto"/>
        <w:jc w:val="both"/>
        <w:rPr>
          <w:rFonts w:ascii="Verdana" w:eastAsia="Times New Roman" w:hAnsi="Verdana" w:cs="Times New Roman"/>
          <w:color w:val="000000"/>
          <w:sz w:val="18"/>
          <w:szCs w:val="18"/>
        </w:rPr>
      </w:pPr>
      <w:r w:rsidRPr="00275A7A">
        <w:rPr>
          <w:rFonts w:ascii="Verdana" w:eastAsia="Times New Roman" w:hAnsi="Verdana" w:cs="Times New Roman"/>
          <w:color w:val="000000"/>
          <w:sz w:val="18"/>
          <w:szCs w:val="18"/>
        </w:rPr>
        <w:lastRenderedPageBreak/>
        <w:t>(</w:t>
      </w:r>
      <w:proofErr w:type="spellStart"/>
      <w:r w:rsidRPr="00275A7A">
        <w:rPr>
          <w:rFonts w:ascii="Verdana" w:eastAsia="Times New Roman" w:hAnsi="Verdana" w:cs="Times New Roman"/>
          <w:color w:val="000000"/>
          <w:sz w:val="18"/>
          <w:szCs w:val="18"/>
        </w:rPr>
        <w:t>Navsa</w:t>
      </w:r>
      <w:proofErr w:type="spellEnd"/>
      <w:r w:rsidRPr="00275A7A">
        <w:rPr>
          <w:rFonts w:ascii="Verdana" w:eastAsia="Times New Roman" w:hAnsi="Verdana" w:cs="Times New Roman"/>
          <w:color w:val="000000"/>
          <w:sz w:val="18"/>
          <w:szCs w:val="18"/>
        </w:rPr>
        <w:t xml:space="preserve">, Van </w:t>
      </w:r>
      <w:proofErr w:type="spellStart"/>
      <w:r w:rsidRPr="00275A7A">
        <w:rPr>
          <w:rFonts w:ascii="Verdana" w:eastAsia="Times New Roman" w:hAnsi="Verdana" w:cs="Times New Roman"/>
          <w:color w:val="000000"/>
          <w:sz w:val="18"/>
          <w:szCs w:val="18"/>
        </w:rPr>
        <w:t>Heerden</w:t>
      </w:r>
      <w:proofErr w:type="spellEnd"/>
      <w:r w:rsidRPr="00275A7A">
        <w:rPr>
          <w:rFonts w:ascii="Verdana" w:eastAsia="Times New Roman" w:hAnsi="Verdana" w:cs="Times New Roman"/>
          <w:color w:val="000000"/>
          <w:sz w:val="18"/>
          <w:szCs w:val="18"/>
        </w:rPr>
        <w:t xml:space="preserve">, Leach and </w:t>
      </w:r>
      <w:proofErr w:type="spellStart"/>
      <w:r w:rsidRPr="00275A7A">
        <w:rPr>
          <w:rFonts w:ascii="Verdana" w:eastAsia="Times New Roman" w:hAnsi="Verdana" w:cs="Times New Roman"/>
          <w:color w:val="000000"/>
          <w:sz w:val="18"/>
          <w:szCs w:val="18"/>
        </w:rPr>
        <w:t>Majiedt</w:t>
      </w:r>
      <w:proofErr w:type="spellEnd"/>
      <w:r w:rsidRPr="00275A7A">
        <w:rPr>
          <w:rFonts w:ascii="Verdana" w:eastAsia="Times New Roman" w:hAnsi="Verdana" w:cs="Times New Roman"/>
          <w:color w:val="000000"/>
          <w:sz w:val="18"/>
          <w:szCs w:val="18"/>
        </w:rPr>
        <w:t xml:space="preserve"> JJA concurred in the judgment of Brand JA.)</w:t>
      </w:r>
    </w:p>
    <w:p w:rsidR="00275A7A" w:rsidRPr="00275A7A" w:rsidRDefault="00275A7A" w:rsidP="00275A7A">
      <w:pPr>
        <w:spacing w:before="180" w:after="240" w:line="240" w:lineRule="auto"/>
        <w:jc w:val="both"/>
        <w:rPr>
          <w:rFonts w:ascii="Verdana" w:eastAsia="Times New Roman" w:hAnsi="Verdana" w:cs="Times New Roman"/>
          <w:color w:val="000000"/>
          <w:sz w:val="18"/>
          <w:szCs w:val="18"/>
        </w:rPr>
      </w:pPr>
    </w:p>
    <w:p w:rsidR="00275A7A" w:rsidRPr="00275A7A" w:rsidRDefault="00275A7A" w:rsidP="00275A7A">
      <w:pPr>
        <w:spacing w:before="180" w:after="240" w:line="240" w:lineRule="auto"/>
        <w:jc w:val="both"/>
        <w:rPr>
          <w:rFonts w:ascii="Verdana" w:eastAsia="Times New Roman" w:hAnsi="Verdana" w:cs="Times New Roman"/>
          <w:color w:val="000000"/>
          <w:sz w:val="18"/>
          <w:szCs w:val="18"/>
        </w:rPr>
      </w:pPr>
    </w:p>
    <w:p w:rsidR="004E4ADB" w:rsidRDefault="004E4ADB"/>
    <w:sectPr w:rsidR="004E4ADB" w:rsidSect="004E4A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A7A"/>
    <w:rsid w:val="00275A7A"/>
    <w:rsid w:val="004E4ADB"/>
    <w:rsid w:val="00A13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5A7A"/>
    <w:rPr>
      <w:color w:val="008000"/>
      <w:u w:val="single"/>
    </w:rPr>
  </w:style>
  <w:style w:type="paragraph" w:styleId="NormalWeb">
    <w:name w:val="Normal (Web)"/>
    <w:basedOn w:val="Normal"/>
    <w:uiPriority w:val="99"/>
    <w:semiHidden/>
    <w:unhideWhenUsed/>
    <w:rsid w:val="00275A7A"/>
    <w:pPr>
      <w:spacing w:before="180" w:after="0" w:line="240" w:lineRule="auto"/>
      <w:jc w:val="both"/>
    </w:pPr>
    <w:rPr>
      <w:rFonts w:ascii="Verdana" w:eastAsia="Times New Roman" w:hAnsi="Verdana" w:cs="Times New Roman"/>
      <w:color w:val="000000"/>
      <w:sz w:val="18"/>
      <w:szCs w:val="18"/>
    </w:rPr>
  </w:style>
  <w:style w:type="paragraph" w:customStyle="1" w:styleId="aappearance">
    <w:name w:val="aappearance"/>
    <w:basedOn w:val="Normal"/>
    <w:rsid w:val="00275A7A"/>
    <w:pPr>
      <w:spacing w:before="40" w:after="0" w:line="240" w:lineRule="auto"/>
    </w:pPr>
    <w:rPr>
      <w:rFonts w:ascii="Verdana" w:eastAsia="Times New Roman" w:hAnsi="Verdana" w:cs="Times New Roman"/>
      <w:color w:val="000000"/>
      <w:sz w:val="16"/>
      <w:szCs w:val="16"/>
    </w:rPr>
  </w:style>
  <w:style w:type="paragraph" w:customStyle="1" w:styleId="abench">
    <w:name w:val="abench"/>
    <w:basedOn w:val="Normal"/>
    <w:rsid w:val="00275A7A"/>
    <w:pPr>
      <w:spacing w:before="40" w:after="0" w:line="240" w:lineRule="auto"/>
    </w:pPr>
    <w:rPr>
      <w:rFonts w:ascii="Verdana" w:eastAsia="Times New Roman" w:hAnsi="Verdana" w:cs="Times New Roman"/>
      <w:color w:val="000000"/>
      <w:sz w:val="16"/>
      <w:szCs w:val="16"/>
    </w:rPr>
  </w:style>
  <w:style w:type="paragraph" w:customStyle="1" w:styleId="acaseno">
    <w:name w:val="acaseno"/>
    <w:basedOn w:val="Normal"/>
    <w:rsid w:val="00275A7A"/>
    <w:pPr>
      <w:spacing w:before="40" w:after="0" w:line="240" w:lineRule="auto"/>
    </w:pPr>
    <w:rPr>
      <w:rFonts w:ascii="Verdana" w:eastAsia="Times New Roman" w:hAnsi="Verdana" w:cs="Times New Roman"/>
      <w:color w:val="000000"/>
      <w:sz w:val="16"/>
      <w:szCs w:val="16"/>
    </w:rPr>
  </w:style>
  <w:style w:type="paragraph" w:customStyle="1" w:styleId="acategories">
    <w:name w:val="acategories"/>
    <w:basedOn w:val="Normal"/>
    <w:rsid w:val="00275A7A"/>
    <w:pPr>
      <w:spacing w:before="40" w:after="0" w:line="240" w:lineRule="auto"/>
    </w:pPr>
    <w:rPr>
      <w:rFonts w:ascii="Verdana" w:eastAsia="Times New Roman" w:hAnsi="Verdana" w:cs="Times New Roman"/>
      <w:color w:val="000000"/>
      <w:sz w:val="16"/>
      <w:szCs w:val="16"/>
    </w:rPr>
  </w:style>
  <w:style w:type="paragraph" w:customStyle="1" w:styleId="acountry">
    <w:name w:val="acountry"/>
    <w:basedOn w:val="Normal"/>
    <w:rsid w:val="00275A7A"/>
    <w:pPr>
      <w:spacing w:before="40" w:after="0" w:line="240" w:lineRule="auto"/>
    </w:pPr>
    <w:rPr>
      <w:rFonts w:ascii="Verdana" w:eastAsia="Times New Roman" w:hAnsi="Verdana" w:cs="Times New Roman"/>
      <w:color w:val="000000"/>
      <w:sz w:val="16"/>
      <w:szCs w:val="16"/>
    </w:rPr>
  </w:style>
  <w:style w:type="paragraph" w:customStyle="1" w:styleId="adivision">
    <w:name w:val="adivision"/>
    <w:basedOn w:val="Normal"/>
    <w:rsid w:val="00275A7A"/>
    <w:pPr>
      <w:spacing w:before="40" w:after="0" w:line="240" w:lineRule="auto"/>
    </w:pPr>
    <w:rPr>
      <w:rFonts w:ascii="Verdana" w:eastAsia="Times New Roman" w:hAnsi="Verdana" w:cs="Times New Roman"/>
      <w:color w:val="000000"/>
      <w:sz w:val="16"/>
      <w:szCs w:val="16"/>
    </w:rPr>
  </w:style>
  <w:style w:type="paragraph" w:customStyle="1" w:styleId="afunction">
    <w:name w:val="afunction"/>
    <w:basedOn w:val="Normal"/>
    <w:rsid w:val="00275A7A"/>
    <w:pPr>
      <w:spacing w:before="40" w:after="0" w:line="240" w:lineRule="auto"/>
    </w:pPr>
    <w:rPr>
      <w:rFonts w:ascii="Verdana" w:eastAsia="Times New Roman" w:hAnsi="Verdana" w:cs="Times New Roman"/>
      <w:color w:val="000000"/>
      <w:sz w:val="16"/>
      <w:szCs w:val="16"/>
    </w:rPr>
  </w:style>
  <w:style w:type="paragraph" w:customStyle="1" w:styleId="ahearingdate">
    <w:name w:val="ahearingdate"/>
    <w:basedOn w:val="Normal"/>
    <w:rsid w:val="00275A7A"/>
    <w:pPr>
      <w:spacing w:before="40" w:after="0" w:line="240" w:lineRule="auto"/>
    </w:pPr>
    <w:rPr>
      <w:rFonts w:ascii="Verdana" w:eastAsia="Times New Roman" w:hAnsi="Verdana" w:cs="Times New Roman"/>
      <w:color w:val="000000"/>
      <w:sz w:val="16"/>
      <w:szCs w:val="16"/>
    </w:rPr>
  </w:style>
  <w:style w:type="paragraph" w:customStyle="1" w:styleId="ajudge">
    <w:name w:val="ajudge"/>
    <w:basedOn w:val="Normal"/>
    <w:rsid w:val="00275A7A"/>
    <w:pPr>
      <w:spacing w:before="40" w:after="0" w:line="240" w:lineRule="auto"/>
    </w:pPr>
    <w:rPr>
      <w:rFonts w:ascii="Verdana" w:eastAsia="Times New Roman" w:hAnsi="Verdana" w:cs="Times New Roman"/>
      <w:color w:val="000000"/>
      <w:sz w:val="16"/>
      <w:szCs w:val="16"/>
    </w:rPr>
  </w:style>
  <w:style w:type="paragraph" w:customStyle="1" w:styleId="ajudgmentdate">
    <w:name w:val="ajudgmentdate"/>
    <w:basedOn w:val="Normal"/>
    <w:rsid w:val="00275A7A"/>
    <w:pPr>
      <w:spacing w:before="40" w:after="0" w:line="240" w:lineRule="auto"/>
    </w:pPr>
    <w:rPr>
      <w:rFonts w:ascii="Verdana" w:eastAsia="Times New Roman" w:hAnsi="Verdana" w:cs="Times New Roman"/>
      <w:color w:val="000000"/>
      <w:sz w:val="16"/>
      <w:szCs w:val="16"/>
    </w:rPr>
  </w:style>
  <w:style w:type="paragraph" w:customStyle="1" w:styleId="ajurisdiction">
    <w:name w:val="ajurisdiction"/>
    <w:basedOn w:val="Normal"/>
    <w:rsid w:val="00275A7A"/>
    <w:pPr>
      <w:spacing w:before="40" w:after="0" w:line="240" w:lineRule="auto"/>
    </w:pPr>
    <w:rPr>
      <w:rFonts w:ascii="Verdana" w:eastAsia="Times New Roman" w:hAnsi="Verdana" w:cs="Times New Roman"/>
      <w:color w:val="000000"/>
      <w:sz w:val="16"/>
      <w:szCs w:val="16"/>
    </w:rPr>
  </w:style>
  <w:style w:type="paragraph" w:customStyle="1" w:styleId="amarkedas">
    <w:name w:val="amarkedas"/>
    <w:basedOn w:val="Normal"/>
    <w:rsid w:val="00275A7A"/>
    <w:pPr>
      <w:spacing w:before="40" w:after="0" w:line="240" w:lineRule="auto"/>
    </w:pPr>
    <w:rPr>
      <w:rFonts w:ascii="Verdana" w:eastAsia="Times New Roman" w:hAnsi="Verdana" w:cs="Times New Roman"/>
      <w:color w:val="000000"/>
      <w:sz w:val="16"/>
      <w:szCs w:val="16"/>
    </w:rPr>
  </w:style>
  <w:style w:type="paragraph" w:customStyle="1" w:styleId="aparties">
    <w:name w:val="aparties"/>
    <w:basedOn w:val="Normal"/>
    <w:rsid w:val="00275A7A"/>
    <w:pPr>
      <w:spacing w:before="40" w:after="0" w:line="240" w:lineRule="auto"/>
    </w:pPr>
    <w:rPr>
      <w:rFonts w:ascii="Verdana" w:eastAsia="Times New Roman" w:hAnsi="Verdana" w:cs="Times New Roman"/>
      <w:color w:val="000000"/>
      <w:sz w:val="16"/>
      <w:szCs w:val="16"/>
    </w:rPr>
  </w:style>
  <w:style w:type="paragraph" w:customStyle="1" w:styleId="areportedin">
    <w:name w:val="areportedin"/>
    <w:basedOn w:val="Normal"/>
    <w:rsid w:val="00275A7A"/>
    <w:pPr>
      <w:spacing w:before="40" w:after="0" w:line="240" w:lineRule="auto"/>
    </w:pPr>
    <w:rPr>
      <w:rFonts w:ascii="Verdana" w:eastAsia="Times New Roman" w:hAnsi="Verdana" w:cs="Times New Roman"/>
      <w:color w:val="000000"/>
      <w:sz w:val="16"/>
      <w:szCs w:val="16"/>
    </w:rPr>
  </w:style>
  <w:style w:type="paragraph" w:customStyle="1" w:styleId="arunninghead">
    <w:name w:val="arunninghead"/>
    <w:basedOn w:val="Normal"/>
    <w:rsid w:val="00275A7A"/>
    <w:pPr>
      <w:spacing w:before="360" w:after="0" w:line="240" w:lineRule="auto"/>
    </w:pPr>
    <w:rPr>
      <w:rFonts w:ascii="Verdana" w:eastAsia="Times New Roman" w:hAnsi="Verdana" w:cs="Times New Roman"/>
      <w:b/>
      <w:bCs/>
      <w:color w:val="000000"/>
      <w:sz w:val="16"/>
      <w:szCs w:val="16"/>
    </w:rPr>
  </w:style>
  <w:style w:type="paragraph" w:customStyle="1" w:styleId="blockquote-x">
    <w:name w:val="blockquote-x"/>
    <w:basedOn w:val="Normal"/>
    <w:rsid w:val="00275A7A"/>
    <w:pPr>
      <w:spacing w:before="180" w:after="0" w:line="240" w:lineRule="auto"/>
      <w:ind w:left="567" w:right="567"/>
      <w:jc w:val="both"/>
    </w:pPr>
    <w:rPr>
      <w:rFonts w:ascii="Verdana" w:eastAsia="Times New Roman" w:hAnsi="Verdana" w:cs="Times New Roman"/>
      <w:color w:val="000000"/>
      <w:sz w:val="18"/>
      <w:szCs w:val="18"/>
    </w:rPr>
  </w:style>
  <w:style w:type="paragraph" w:customStyle="1" w:styleId="blockquotetab">
    <w:name w:val="blockquotetab"/>
    <w:basedOn w:val="Normal"/>
    <w:rsid w:val="00275A7A"/>
    <w:pPr>
      <w:spacing w:before="180" w:after="0" w:line="240" w:lineRule="auto"/>
      <w:ind w:right="567"/>
      <w:jc w:val="both"/>
    </w:pPr>
    <w:rPr>
      <w:rFonts w:ascii="Verdana" w:eastAsia="Times New Roman" w:hAnsi="Verdana" w:cs="Times New Roman"/>
      <w:color w:val="000000"/>
      <w:sz w:val="18"/>
      <w:szCs w:val="18"/>
    </w:rPr>
  </w:style>
  <w:style w:type="paragraph" w:customStyle="1" w:styleId="boldhead">
    <w:name w:val="boldhead"/>
    <w:basedOn w:val="Normal"/>
    <w:rsid w:val="00275A7A"/>
    <w:pPr>
      <w:spacing w:before="240" w:after="0" w:line="240" w:lineRule="auto"/>
      <w:jc w:val="both"/>
    </w:pPr>
    <w:rPr>
      <w:rFonts w:ascii="Verdana" w:eastAsia="Times New Roman" w:hAnsi="Verdana" w:cs="Times New Roman"/>
      <w:b/>
      <w:bCs/>
      <w:color w:val="000000"/>
      <w:sz w:val="18"/>
      <w:szCs w:val="18"/>
    </w:rPr>
  </w:style>
  <w:style w:type="paragraph" w:customStyle="1" w:styleId="casehead1">
    <w:name w:val="casehead1"/>
    <w:basedOn w:val="Normal"/>
    <w:rsid w:val="00275A7A"/>
    <w:pPr>
      <w:spacing w:after="0" w:line="240" w:lineRule="auto"/>
      <w:jc w:val="center"/>
    </w:pPr>
    <w:rPr>
      <w:rFonts w:ascii="Verdana" w:eastAsia="Times New Roman" w:hAnsi="Verdana" w:cs="Times New Roman"/>
      <w:b/>
      <w:bCs/>
      <w:color w:val="000000"/>
      <w:sz w:val="18"/>
      <w:szCs w:val="18"/>
    </w:rPr>
  </w:style>
  <w:style w:type="paragraph" w:customStyle="1" w:styleId="casesrefhead">
    <w:name w:val="casesrefhead"/>
    <w:basedOn w:val="Normal"/>
    <w:rsid w:val="00275A7A"/>
    <w:pPr>
      <w:spacing w:before="240" w:after="0" w:line="240" w:lineRule="auto"/>
    </w:pPr>
    <w:rPr>
      <w:rFonts w:ascii="Verdana" w:eastAsia="Times New Roman" w:hAnsi="Verdana" w:cs="Times New Roman"/>
      <w:b/>
      <w:bCs/>
      <w:color w:val="000000"/>
      <w:sz w:val="18"/>
      <w:szCs w:val="18"/>
    </w:rPr>
  </w:style>
  <w:style w:type="paragraph" w:customStyle="1" w:styleId="keywordshead">
    <w:name w:val="keywordshead"/>
    <w:basedOn w:val="Normal"/>
    <w:rsid w:val="00275A7A"/>
    <w:pPr>
      <w:spacing w:before="240" w:after="0" w:line="240" w:lineRule="auto"/>
      <w:jc w:val="both"/>
    </w:pPr>
    <w:rPr>
      <w:rFonts w:ascii="Verdana" w:eastAsia="Times New Roman" w:hAnsi="Verdana" w:cs="Times New Roman"/>
      <w:b/>
      <w:bCs/>
      <w:color w:val="000000"/>
      <w:sz w:val="18"/>
      <w:szCs w:val="18"/>
    </w:rPr>
  </w:style>
  <w:style w:type="paragraph" w:customStyle="1" w:styleId="minisummaryhead">
    <w:name w:val="minisummaryhead"/>
    <w:basedOn w:val="Normal"/>
    <w:rsid w:val="00275A7A"/>
    <w:pPr>
      <w:spacing w:before="240" w:after="0" w:line="240" w:lineRule="auto"/>
      <w:jc w:val="both"/>
    </w:pPr>
    <w:rPr>
      <w:rFonts w:ascii="Verdana" w:eastAsia="Times New Roman" w:hAnsi="Verdana" w:cs="Times New Roman"/>
      <w:b/>
      <w:bCs/>
      <w:color w:val="000000"/>
      <w:sz w:val="18"/>
      <w:szCs w:val="18"/>
    </w:rPr>
  </w:style>
  <w:style w:type="paragraph" w:customStyle="1" w:styleId="keywords">
    <w:name w:val="keywords"/>
    <w:basedOn w:val="Normal"/>
    <w:rsid w:val="00275A7A"/>
    <w:pPr>
      <w:spacing w:before="180" w:after="0" w:line="240" w:lineRule="auto"/>
      <w:jc w:val="both"/>
    </w:pPr>
    <w:rPr>
      <w:rFonts w:ascii="Verdana" w:eastAsia="Times New Roman" w:hAnsi="Verdana" w:cs="Times New Roman"/>
      <w:color w:val="000000"/>
      <w:sz w:val="18"/>
      <w:szCs w:val="18"/>
    </w:rPr>
  </w:style>
  <w:style w:type="paragraph" w:customStyle="1" w:styleId="normaltext">
    <w:name w:val="normaltext"/>
    <w:basedOn w:val="Normal"/>
    <w:rsid w:val="00275A7A"/>
    <w:pPr>
      <w:spacing w:before="180" w:after="0" w:line="240" w:lineRule="auto"/>
      <w:jc w:val="both"/>
    </w:pPr>
    <w:rPr>
      <w:rFonts w:ascii="Verdana" w:eastAsia="Times New Roman" w:hAnsi="Verdana" w:cs="Times New Roman"/>
      <w:color w:val="000000"/>
      <w:sz w:val="18"/>
      <w:szCs w:val="18"/>
    </w:rPr>
  </w:style>
  <w:style w:type="paragraph" w:customStyle="1" w:styleId="minisummary">
    <w:name w:val="minisummary"/>
    <w:basedOn w:val="Normal"/>
    <w:rsid w:val="00275A7A"/>
    <w:pPr>
      <w:spacing w:before="180" w:after="0" w:line="240" w:lineRule="auto"/>
      <w:jc w:val="both"/>
    </w:pPr>
    <w:rPr>
      <w:rFonts w:ascii="Verdana" w:eastAsia="Times New Roman" w:hAnsi="Verdana" w:cs="Times New Roman"/>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5A7A"/>
    <w:rPr>
      <w:color w:val="008000"/>
      <w:u w:val="single"/>
    </w:rPr>
  </w:style>
  <w:style w:type="paragraph" w:styleId="NormalWeb">
    <w:name w:val="Normal (Web)"/>
    <w:basedOn w:val="Normal"/>
    <w:uiPriority w:val="99"/>
    <w:semiHidden/>
    <w:unhideWhenUsed/>
    <w:rsid w:val="00275A7A"/>
    <w:pPr>
      <w:spacing w:before="180" w:after="0" w:line="240" w:lineRule="auto"/>
      <w:jc w:val="both"/>
    </w:pPr>
    <w:rPr>
      <w:rFonts w:ascii="Verdana" w:eastAsia="Times New Roman" w:hAnsi="Verdana" w:cs="Times New Roman"/>
      <w:color w:val="000000"/>
      <w:sz w:val="18"/>
      <w:szCs w:val="18"/>
    </w:rPr>
  </w:style>
  <w:style w:type="paragraph" w:customStyle="1" w:styleId="aappearance">
    <w:name w:val="aappearance"/>
    <w:basedOn w:val="Normal"/>
    <w:rsid w:val="00275A7A"/>
    <w:pPr>
      <w:spacing w:before="40" w:after="0" w:line="240" w:lineRule="auto"/>
    </w:pPr>
    <w:rPr>
      <w:rFonts w:ascii="Verdana" w:eastAsia="Times New Roman" w:hAnsi="Verdana" w:cs="Times New Roman"/>
      <w:color w:val="000000"/>
      <w:sz w:val="16"/>
      <w:szCs w:val="16"/>
    </w:rPr>
  </w:style>
  <w:style w:type="paragraph" w:customStyle="1" w:styleId="abench">
    <w:name w:val="abench"/>
    <w:basedOn w:val="Normal"/>
    <w:rsid w:val="00275A7A"/>
    <w:pPr>
      <w:spacing w:before="40" w:after="0" w:line="240" w:lineRule="auto"/>
    </w:pPr>
    <w:rPr>
      <w:rFonts w:ascii="Verdana" w:eastAsia="Times New Roman" w:hAnsi="Verdana" w:cs="Times New Roman"/>
      <w:color w:val="000000"/>
      <w:sz w:val="16"/>
      <w:szCs w:val="16"/>
    </w:rPr>
  </w:style>
  <w:style w:type="paragraph" w:customStyle="1" w:styleId="acaseno">
    <w:name w:val="acaseno"/>
    <w:basedOn w:val="Normal"/>
    <w:rsid w:val="00275A7A"/>
    <w:pPr>
      <w:spacing w:before="40" w:after="0" w:line="240" w:lineRule="auto"/>
    </w:pPr>
    <w:rPr>
      <w:rFonts w:ascii="Verdana" w:eastAsia="Times New Roman" w:hAnsi="Verdana" w:cs="Times New Roman"/>
      <w:color w:val="000000"/>
      <w:sz w:val="16"/>
      <w:szCs w:val="16"/>
    </w:rPr>
  </w:style>
  <w:style w:type="paragraph" w:customStyle="1" w:styleId="acategories">
    <w:name w:val="acategories"/>
    <w:basedOn w:val="Normal"/>
    <w:rsid w:val="00275A7A"/>
    <w:pPr>
      <w:spacing w:before="40" w:after="0" w:line="240" w:lineRule="auto"/>
    </w:pPr>
    <w:rPr>
      <w:rFonts w:ascii="Verdana" w:eastAsia="Times New Roman" w:hAnsi="Verdana" w:cs="Times New Roman"/>
      <w:color w:val="000000"/>
      <w:sz w:val="16"/>
      <w:szCs w:val="16"/>
    </w:rPr>
  </w:style>
  <w:style w:type="paragraph" w:customStyle="1" w:styleId="acountry">
    <w:name w:val="acountry"/>
    <w:basedOn w:val="Normal"/>
    <w:rsid w:val="00275A7A"/>
    <w:pPr>
      <w:spacing w:before="40" w:after="0" w:line="240" w:lineRule="auto"/>
    </w:pPr>
    <w:rPr>
      <w:rFonts w:ascii="Verdana" w:eastAsia="Times New Roman" w:hAnsi="Verdana" w:cs="Times New Roman"/>
      <w:color w:val="000000"/>
      <w:sz w:val="16"/>
      <w:szCs w:val="16"/>
    </w:rPr>
  </w:style>
  <w:style w:type="paragraph" w:customStyle="1" w:styleId="adivision">
    <w:name w:val="adivision"/>
    <w:basedOn w:val="Normal"/>
    <w:rsid w:val="00275A7A"/>
    <w:pPr>
      <w:spacing w:before="40" w:after="0" w:line="240" w:lineRule="auto"/>
    </w:pPr>
    <w:rPr>
      <w:rFonts w:ascii="Verdana" w:eastAsia="Times New Roman" w:hAnsi="Verdana" w:cs="Times New Roman"/>
      <w:color w:val="000000"/>
      <w:sz w:val="16"/>
      <w:szCs w:val="16"/>
    </w:rPr>
  </w:style>
  <w:style w:type="paragraph" w:customStyle="1" w:styleId="afunction">
    <w:name w:val="afunction"/>
    <w:basedOn w:val="Normal"/>
    <w:rsid w:val="00275A7A"/>
    <w:pPr>
      <w:spacing w:before="40" w:after="0" w:line="240" w:lineRule="auto"/>
    </w:pPr>
    <w:rPr>
      <w:rFonts w:ascii="Verdana" w:eastAsia="Times New Roman" w:hAnsi="Verdana" w:cs="Times New Roman"/>
      <w:color w:val="000000"/>
      <w:sz w:val="16"/>
      <w:szCs w:val="16"/>
    </w:rPr>
  </w:style>
  <w:style w:type="paragraph" w:customStyle="1" w:styleId="ahearingdate">
    <w:name w:val="ahearingdate"/>
    <w:basedOn w:val="Normal"/>
    <w:rsid w:val="00275A7A"/>
    <w:pPr>
      <w:spacing w:before="40" w:after="0" w:line="240" w:lineRule="auto"/>
    </w:pPr>
    <w:rPr>
      <w:rFonts w:ascii="Verdana" w:eastAsia="Times New Roman" w:hAnsi="Verdana" w:cs="Times New Roman"/>
      <w:color w:val="000000"/>
      <w:sz w:val="16"/>
      <w:szCs w:val="16"/>
    </w:rPr>
  </w:style>
  <w:style w:type="paragraph" w:customStyle="1" w:styleId="ajudge">
    <w:name w:val="ajudge"/>
    <w:basedOn w:val="Normal"/>
    <w:rsid w:val="00275A7A"/>
    <w:pPr>
      <w:spacing w:before="40" w:after="0" w:line="240" w:lineRule="auto"/>
    </w:pPr>
    <w:rPr>
      <w:rFonts w:ascii="Verdana" w:eastAsia="Times New Roman" w:hAnsi="Verdana" w:cs="Times New Roman"/>
      <w:color w:val="000000"/>
      <w:sz w:val="16"/>
      <w:szCs w:val="16"/>
    </w:rPr>
  </w:style>
  <w:style w:type="paragraph" w:customStyle="1" w:styleId="ajudgmentdate">
    <w:name w:val="ajudgmentdate"/>
    <w:basedOn w:val="Normal"/>
    <w:rsid w:val="00275A7A"/>
    <w:pPr>
      <w:spacing w:before="40" w:after="0" w:line="240" w:lineRule="auto"/>
    </w:pPr>
    <w:rPr>
      <w:rFonts w:ascii="Verdana" w:eastAsia="Times New Roman" w:hAnsi="Verdana" w:cs="Times New Roman"/>
      <w:color w:val="000000"/>
      <w:sz w:val="16"/>
      <w:szCs w:val="16"/>
    </w:rPr>
  </w:style>
  <w:style w:type="paragraph" w:customStyle="1" w:styleId="ajurisdiction">
    <w:name w:val="ajurisdiction"/>
    <w:basedOn w:val="Normal"/>
    <w:rsid w:val="00275A7A"/>
    <w:pPr>
      <w:spacing w:before="40" w:after="0" w:line="240" w:lineRule="auto"/>
    </w:pPr>
    <w:rPr>
      <w:rFonts w:ascii="Verdana" w:eastAsia="Times New Roman" w:hAnsi="Verdana" w:cs="Times New Roman"/>
      <w:color w:val="000000"/>
      <w:sz w:val="16"/>
      <w:szCs w:val="16"/>
    </w:rPr>
  </w:style>
  <w:style w:type="paragraph" w:customStyle="1" w:styleId="amarkedas">
    <w:name w:val="amarkedas"/>
    <w:basedOn w:val="Normal"/>
    <w:rsid w:val="00275A7A"/>
    <w:pPr>
      <w:spacing w:before="40" w:after="0" w:line="240" w:lineRule="auto"/>
    </w:pPr>
    <w:rPr>
      <w:rFonts w:ascii="Verdana" w:eastAsia="Times New Roman" w:hAnsi="Verdana" w:cs="Times New Roman"/>
      <w:color w:val="000000"/>
      <w:sz w:val="16"/>
      <w:szCs w:val="16"/>
    </w:rPr>
  </w:style>
  <w:style w:type="paragraph" w:customStyle="1" w:styleId="aparties">
    <w:name w:val="aparties"/>
    <w:basedOn w:val="Normal"/>
    <w:rsid w:val="00275A7A"/>
    <w:pPr>
      <w:spacing w:before="40" w:after="0" w:line="240" w:lineRule="auto"/>
    </w:pPr>
    <w:rPr>
      <w:rFonts w:ascii="Verdana" w:eastAsia="Times New Roman" w:hAnsi="Verdana" w:cs="Times New Roman"/>
      <w:color w:val="000000"/>
      <w:sz w:val="16"/>
      <w:szCs w:val="16"/>
    </w:rPr>
  </w:style>
  <w:style w:type="paragraph" w:customStyle="1" w:styleId="areportedin">
    <w:name w:val="areportedin"/>
    <w:basedOn w:val="Normal"/>
    <w:rsid w:val="00275A7A"/>
    <w:pPr>
      <w:spacing w:before="40" w:after="0" w:line="240" w:lineRule="auto"/>
    </w:pPr>
    <w:rPr>
      <w:rFonts w:ascii="Verdana" w:eastAsia="Times New Roman" w:hAnsi="Verdana" w:cs="Times New Roman"/>
      <w:color w:val="000000"/>
      <w:sz w:val="16"/>
      <w:szCs w:val="16"/>
    </w:rPr>
  </w:style>
  <w:style w:type="paragraph" w:customStyle="1" w:styleId="arunninghead">
    <w:name w:val="arunninghead"/>
    <w:basedOn w:val="Normal"/>
    <w:rsid w:val="00275A7A"/>
    <w:pPr>
      <w:spacing w:before="360" w:after="0" w:line="240" w:lineRule="auto"/>
    </w:pPr>
    <w:rPr>
      <w:rFonts w:ascii="Verdana" w:eastAsia="Times New Roman" w:hAnsi="Verdana" w:cs="Times New Roman"/>
      <w:b/>
      <w:bCs/>
      <w:color w:val="000000"/>
      <w:sz w:val="16"/>
      <w:szCs w:val="16"/>
    </w:rPr>
  </w:style>
  <w:style w:type="paragraph" w:customStyle="1" w:styleId="blockquote-x">
    <w:name w:val="blockquote-x"/>
    <w:basedOn w:val="Normal"/>
    <w:rsid w:val="00275A7A"/>
    <w:pPr>
      <w:spacing w:before="180" w:after="0" w:line="240" w:lineRule="auto"/>
      <w:ind w:left="567" w:right="567"/>
      <w:jc w:val="both"/>
    </w:pPr>
    <w:rPr>
      <w:rFonts w:ascii="Verdana" w:eastAsia="Times New Roman" w:hAnsi="Verdana" w:cs="Times New Roman"/>
      <w:color w:val="000000"/>
      <w:sz w:val="18"/>
      <w:szCs w:val="18"/>
    </w:rPr>
  </w:style>
  <w:style w:type="paragraph" w:customStyle="1" w:styleId="blockquotetab">
    <w:name w:val="blockquotetab"/>
    <w:basedOn w:val="Normal"/>
    <w:rsid w:val="00275A7A"/>
    <w:pPr>
      <w:spacing w:before="180" w:after="0" w:line="240" w:lineRule="auto"/>
      <w:ind w:right="567"/>
      <w:jc w:val="both"/>
    </w:pPr>
    <w:rPr>
      <w:rFonts w:ascii="Verdana" w:eastAsia="Times New Roman" w:hAnsi="Verdana" w:cs="Times New Roman"/>
      <w:color w:val="000000"/>
      <w:sz w:val="18"/>
      <w:szCs w:val="18"/>
    </w:rPr>
  </w:style>
  <w:style w:type="paragraph" w:customStyle="1" w:styleId="boldhead">
    <w:name w:val="boldhead"/>
    <w:basedOn w:val="Normal"/>
    <w:rsid w:val="00275A7A"/>
    <w:pPr>
      <w:spacing w:before="240" w:after="0" w:line="240" w:lineRule="auto"/>
      <w:jc w:val="both"/>
    </w:pPr>
    <w:rPr>
      <w:rFonts w:ascii="Verdana" w:eastAsia="Times New Roman" w:hAnsi="Verdana" w:cs="Times New Roman"/>
      <w:b/>
      <w:bCs/>
      <w:color w:val="000000"/>
      <w:sz w:val="18"/>
      <w:szCs w:val="18"/>
    </w:rPr>
  </w:style>
  <w:style w:type="paragraph" w:customStyle="1" w:styleId="casehead1">
    <w:name w:val="casehead1"/>
    <w:basedOn w:val="Normal"/>
    <w:rsid w:val="00275A7A"/>
    <w:pPr>
      <w:spacing w:after="0" w:line="240" w:lineRule="auto"/>
      <w:jc w:val="center"/>
    </w:pPr>
    <w:rPr>
      <w:rFonts w:ascii="Verdana" w:eastAsia="Times New Roman" w:hAnsi="Verdana" w:cs="Times New Roman"/>
      <w:b/>
      <w:bCs/>
      <w:color w:val="000000"/>
      <w:sz w:val="18"/>
      <w:szCs w:val="18"/>
    </w:rPr>
  </w:style>
  <w:style w:type="paragraph" w:customStyle="1" w:styleId="casesrefhead">
    <w:name w:val="casesrefhead"/>
    <w:basedOn w:val="Normal"/>
    <w:rsid w:val="00275A7A"/>
    <w:pPr>
      <w:spacing w:before="240" w:after="0" w:line="240" w:lineRule="auto"/>
    </w:pPr>
    <w:rPr>
      <w:rFonts w:ascii="Verdana" w:eastAsia="Times New Roman" w:hAnsi="Verdana" w:cs="Times New Roman"/>
      <w:b/>
      <w:bCs/>
      <w:color w:val="000000"/>
      <w:sz w:val="18"/>
      <w:szCs w:val="18"/>
    </w:rPr>
  </w:style>
  <w:style w:type="paragraph" w:customStyle="1" w:styleId="keywordshead">
    <w:name w:val="keywordshead"/>
    <w:basedOn w:val="Normal"/>
    <w:rsid w:val="00275A7A"/>
    <w:pPr>
      <w:spacing w:before="240" w:after="0" w:line="240" w:lineRule="auto"/>
      <w:jc w:val="both"/>
    </w:pPr>
    <w:rPr>
      <w:rFonts w:ascii="Verdana" w:eastAsia="Times New Roman" w:hAnsi="Verdana" w:cs="Times New Roman"/>
      <w:b/>
      <w:bCs/>
      <w:color w:val="000000"/>
      <w:sz w:val="18"/>
      <w:szCs w:val="18"/>
    </w:rPr>
  </w:style>
  <w:style w:type="paragraph" w:customStyle="1" w:styleId="minisummaryhead">
    <w:name w:val="minisummaryhead"/>
    <w:basedOn w:val="Normal"/>
    <w:rsid w:val="00275A7A"/>
    <w:pPr>
      <w:spacing w:before="240" w:after="0" w:line="240" w:lineRule="auto"/>
      <w:jc w:val="both"/>
    </w:pPr>
    <w:rPr>
      <w:rFonts w:ascii="Verdana" w:eastAsia="Times New Roman" w:hAnsi="Verdana" w:cs="Times New Roman"/>
      <w:b/>
      <w:bCs/>
      <w:color w:val="000000"/>
      <w:sz w:val="18"/>
      <w:szCs w:val="18"/>
    </w:rPr>
  </w:style>
  <w:style w:type="paragraph" w:customStyle="1" w:styleId="keywords">
    <w:name w:val="keywords"/>
    <w:basedOn w:val="Normal"/>
    <w:rsid w:val="00275A7A"/>
    <w:pPr>
      <w:spacing w:before="180" w:after="0" w:line="240" w:lineRule="auto"/>
      <w:jc w:val="both"/>
    </w:pPr>
    <w:rPr>
      <w:rFonts w:ascii="Verdana" w:eastAsia="Times New Roman" w:hAnsi="Verdana" w:cs="Times New Roman"/>
      <w:color w:val="000000"/>
      <w:sz w:val="18"/>
      <w:szCs w:val="18"/>
    </w:rPr>
  </w:style>
  <w:style w:type="paragraph" w:customStyle="1" w:styleId="normaltext">
    <w:name w:val="normaltext"/>
    <w:basedOn w:val="Normal"/>
    <w:rsid w:val="00275A7A"/>
    <w:pPr>
      <w:spacing w:before="180" w:after="0" w:line="240" w:lineRule="auto"/>
      <w:jc w:val="both"/>
    </w:pPr>
    <w:rPr>
      <w:rFonts w:ascii="Verdana" w:eastAsia="Times New Roman" w:hAnsi="Verdana" w:cs="Times New Roman"/>
      <w:color w:val="000000"/>
      <w:sz w:val="18"/>
      <w:szCs w:val="18"/>
    </w:rPr>
  </w:style>
  <w:style w:type="paragraph" w:customStyle="1" w:styleId="minisummary">
    <w:name w:val="minisummary"/>
    <w:basedOn w:val="Normal"/>
    <w:rsid w:val="00275A7A"/>
    <w:pPr>
      <w:spacing w:before="180" w:after="0" w:line="240" w:lineRule="auto"/>
      <w:jc w:val="both"/>
    </w:pPr>
    <w:rPr>
      <w:rFonts w:ascii="Verdana" w:eastAsia="Times New Roman" w:hAnsi="Verdana"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00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ylexisnexis.co.za/nxt/gateway.dll/cc/s1ic/u1ic/wayva/4c90a/5c90a" TargetMode="External"/><Relationship Id="rId12" Type="http://schemas.openxmlformats.org/officeDocument/2006/relationships/hyperlink" Target="http://www.mylexisnexis.co.za/nxt/gateway.dll/cc/c1ic/e1ic/p5omb/f0gtb/g0gtb/uqpzb/vqpzb" TargetMode="External"/><Relationship Id="rId13" Type="http://schemas.openxmlformats.org/officeDocument/2006/relationships/hyperlink" Target="http://www.mylexisnexis.co.za/nxt/gateway.dll/cc/s1ic/u1ic/gcpnb/fqayb/lqayb" TargetMode="External"/><Relationship Id="rId14" Type="http://schemas.openxmlformats.org/officeDocument/2006/relationships/hyperlink" Target="http://www.mylexisnexis.co.za/nxt/gateway.dll/cc/c1ic/e1ic/5kto/2qr3/4qr3/6qr3/lrr3" TargetMode="External"/><Relationship Id="rId15" Type="http://schemas.openxmlformats.org/officeDocument/2006/relationships/hyperlink" Target="http://www.mylexisnexis.co.za/nxt/gateway.dll/cc/u0uua/ghvua/qriza/50iza/2fkza"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ylexisnexis.co.za/nxt/gateway.dll/cc/s1ic/u1ic/wayva/4c90a/5c90a" TargetMode="External"/><Relationship Id="rId6" Type="http://schemas.openxmlformats.org/officeDocument/2006/relationships/hyperlink" Target="http://www.mylexisnexis.co.za/nxt/gateway.dll/cc/u0uua/ghvua/qriza/40iza/vbkza" TargetMode="External"/><Relationship Id="rId7" Type="http://schemas.openxmlformats.org/officeDocument/2006/relationships/hyperlink" Target="http://www.mylexisnexis.co.za/nxt/gateway.dll/cc/u0uua/ghvua/sriza/i0iza/ofjza" TargetMode="External"/><Relationship Id="rId8" Type="http://schemas.openxmlformats.org/officeDocument/2006/relationships/hyperlink" Target="http://www.mylexisnexis.co.za/nxt/gateway.dll/cc/c1ic/e1ic/2atfb/5aehb/ht4hb/kt4hb/9z9hb" TargetMode="External"/><Relationship Id="rId9" Type="http://schemas.openxmlformats.org/officeDocument/2006/relationships/hyperlink" Target="http://www.mylexisnexis.co.za/nxt/gateway.dll/cc/u0uua/ghvua/rel6a/idq6a/5hq6a" TargetMode="External"/><Relationship Id="rId10" Type="http://schemas.openxmlformats.org/officeDocument/2006/relationships/hyperlink" Target="http://www.mylexisnexis.co.za/nxt/gateway.dll/cc/u0uua/ghvua/bel6a/lfl6a/o1m6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8745</Words>
  <Characters>49851</Characters>
  <Application>Microsoft Macintosh Word</Application>
  <DocSecurity>4</DocSecurity>
  <Lines>415</Lines>
  <Paragraphs>116</Paragraphs>
  <ScaleCrop>false</ScaleCrop>
  <Company/>
  <LinksUpToDate>false</LinksUpToDate>
  <CharactersWithSpaces>58480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Tienie</dc:creator>
  <cp:keywords/>
  <dc:description/>
  <cp:lastModifiedBy>Lucy Reyburn</cp:lastModifiedBy>
  <cp:revision>2</cp:revision>
  <dcterms:created xsi:type="dcterms:W3CDTF">2012-06-25T12:16:00Z</dcterms:created>
  <dcterms:modified xsi:type="dcterms:W3CDTF">2012-06-25T12:16:00Z</dcterms:modified>
</cp:coreProperties>
</file>